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b/>
          <w:color w:val="FF0000"/>
          <w:sz w:val="72"/>
          <w:szCs w:val="52"/>
        </w:rPr>
      </w:pPr>
    </w:p>
    <w:p>
      <w:pPr>
        <w:jc w:val="center"/>
        <w:rPr>
          <w:rFonts w:ascii="Times New Roman" w:hAnsi="Times New Roman" w:eastAsia="黑体"/>
          <w:b/>
          <w:color w:val="FF0000"/>
          <w:sz w:val="72"/>
          <w:szCs w:val="52"/>
        </w:rPr>
      </w:pPr>
    </w:p>
    <w:p>
      <w:pPr>
        <w:jc w:val="center"/>
        <w:rPr>
          <w:rFonts w:ascii="Times New Roman" w:hAnsi="Times New Roman" w:eastAsia="黑体"/>
          <w:b/>
          <w:color w:val="000000" w:themeColor="text1"/>
          <w:sz w:val="96"/>
          <w:szCs w:val="52"/>
          <w14:textFill>
            <w14:solidFill>
              <w14:schemeClr w14:val="tx1"/>
            </w14:solidFill>
          </w14:textFill>
        </w:rPr>
      </w:pPr>
      <w:r>
        <w:rPr>
          <w:rFonts w:ascii="Times New Roman" w:hAnsi="Times New Roman" w:eastAsia="黑体"/>
          <w:b/>
          <w:color w:val="000000" w:themeColor="text1"/>
          <w:sz w:val="96"/>
          <w:szCs w:val="52"/>
          <w14:textFill>
            <w14:solidFill>
              <w14:schemeClr w14:val="tx1"/>
            </w14:solidFill>
          </w14:textFill>
        </w:rPr>
        <w:t>广州市房地产中介 信用白皮书</w:t>
      </w:r>
    </w:p>
    <w:p>
      <w:pPr>
        <w:jc w:val="center"/>
        <w:rPr>
          <w:rFonts w:ascii="Times New Roman" w:hAnsi="Times New Roman" w:eastAsia="黑体"/>
          <w:b/>
          <w:color w:val="000000" w:themeColor="text1"/>
          <w:sz w:val="52"/>
          <w:szCs w:val="52"/>
          <w14:textFill>
            <w14:solidFill>
              <w14:schemeClr w14:val="tx1"/>
            </w14:solidFill>
          </w14:textFill>
        </w:rPr>
      </w:pPr>
      <w:r>
        <w:rPr>
          <w:rFonts w:ascii="Times New Roman" w:hAnsi="Times New Roman" w:eastAsia="黑体"/>
          <w:b/>
          <w:color w:val="000000" w:themeColor="text1"/>
          <w:sz w:val="52"/>
          <w:szCs w:val="52"/>
          <w14:textFill>
            <w14:solidFill>
              <w14:schemeClr w14:val="tx1"/>
            </w14:solidFill>
          </w14:textFill>
        </w:rPr>
        <w:t>（2022年）</w:t>
      </w:r>
    </w:p>
    <w:p>
      <w:pPr>
        <w:spacing w:line="360" w:lineRule="auto"/>
        <w:jc w:val="center"/>
        <w:rPr>
          <w:rFonts w:ascii="Times New Roman" w:hAnsi="Times New Roman" w:eastAsia="黑体"/>
          <w:b/>
          <w:color w:val="FF0000"/>
          <w:sz w:val="52"/>
          <w:szCs w:val="52"/>
        </w:rPr>
      </w:pPr>
    </w:p>
    <w:p>
      <w:pPr>
        <w:spacing w:line="360" w:lineRule="auto"/>
        <w:jc w:val="center"/>
        <w:rPr>
          <w:rFonts w:ascii="Times New Roman" w:hAnsi="Times New Roman" w:eastAsia="黑体"/>
          <w:b/>
          <w:color w:val="FF0000"/>
          <w:sz w:val="52"/>
          <w:szCs w:val="52"/>
        </w:rPr>
      </w:pPr>
    </w:p>
    <w:p>
      <w:pPr>
        <w:spacing w:line="360" w:lineRule="auto"/>
        <w:jc w:val="center"/>
        <w:rPr>
          <w:rFonts w:ascii="Times New Roman" w:hAnsi="Times New Roman" w:eastAsia="黑体"/>
          <w:b/>
          <w:color w:val="FF0000"/>
          <w:sz w:val="52"/>
          <w:szCs w:val="52"/>
        </w:rPr>
      </w:pPr>
    </w:p>
    <w:p>
      <w:pPr>
        <w:spacing w:line="360" w:lineRule="auto"/>
        <w:jc w:val="center"/>
        <w:rPr>
          <w:rFonts w:ascii="Times New Roman" w:hAnsi="Times New Roman" w:eastAsia="黑体"/>
          <w:b/>
          <w:color w:val="FF0000"/>
          <w:sz w:val="52"/>
          <w:szCs w:val="52"/>
        </w:rPr>
      </w:pPr>
    </w:p>
    <w:p>
      <w:pPr>
        <w:spacing w:line="360" w:lineRule="auto"/>
        <w:jc w:val="center"/>
        <w:rPr>
          <w:rFonts w:ascii="Times New Roman" w:hAnsi="Times New Roman" w:eastAsia="黑体"/>
          <w:b/>
          <w:color w:val="FF0000"/>
          <w:sz w:val="52"/>
          <w:szCs w:val="52"/>
        </w:rPr>
      </w:pPr>
    </w:p>
    <w:p>
      <w:pPr>
        <w:spacing w:line="360" w:lineRule="auto"/>
        <w:jc w:val="center"/>
        <w:rPr>
          <w:rFonts w:ascii="Times New Roman" w:hAnsi="Times New Roman" w:eastAsia="黑体"/>
          <w:b/>
          <w:color w:val="FF0000"/>
          <w:sz w:val="52"/>
          <w:szCs w:val="52"/>
        </w:rPr>
      </w:pPr>
    </w:p>
    <w:p>
      <w:pPr>
        <w:spacing w:line="360" w:lineRule="auto"/>
        <w:jc w:val="center"/>
        <w:rPr>
          <w:rFonts w:ascii="Times New Roman" w:hAnsi="Times New Roman" w:eastAsia="黑体"/>
          <w:b/>
          <w:color w:val="000000" w:themeColor="text1"/>
          <w:sz w:val="36"/>
          <w:szCs w:val="52"/>
          <w14:textFill>
            <w14:solidFill>
              <w14:schemeClr w14:val="tx1"/>
            </w14:solidFill>
          </w14:textFill>
        </w:rPr>
      </w:pPr>
      <w:r>
        <w:rPr>
          <w:rFonts w:ascii="Times New Roman" w:hAnsi="Times New Roman" w:eastAsia="黑体"/>
          <w:b/>
          <w:color w:val="000000" w:themeColor="text1"/>
          <w:sz w:val="36"/>
          <w:szCs w:val="52"/>
          <w14:textFill>
            <w14:solidFill>
              <w14:schemeClr w14:val="tx1"/>
            </w14:solidFill>
          </w14:textFill>
        </w:rPr>
        <w:t>广州市房屋交易监管中心</w:t>
      </w:r>
    </w:p>
    <w:p>
      <w:pPr>
        <w:spacing w:line="360" w:lineRule="auto"/>
        <w:jc w:val="center"/>
        <w:rPr>
          <w:rFonts w:ascii="Times New Roman" w:hAnsi="Times New Roman" w:eastAsia="黑体"/>
          <w:b/>
          <w:color w:val="000000" w:themeColor="text1"/>
          <w:sz w:val="36"/>
          <w:szCs w:val="52"/>
          <w14:textFill>
            <w14:solidFill>
              <w14:schemeClr w14:val="tx1"/>
            </w14:solidFill>
          </w14:textFill>
        </w:rPr>
      </w:pPr>
      <w:r>
        <w:rPr>
          <w:rFonts w:ascii="Times New Roman" w:hAnsi="Times New Roman" w:eastAsia="黑体"/>
          <w:b/>
          <w:color w:val="000000" w:themeColor="text1"/>
          <w:sz w:val="36"/>
          <w:szCs w:val="52"/>
          <w14:textFill>
            <w14:solidFill>
              <w14:schemeClr w14:val="tx1"/>
            </w14:solidFill>
          </w14:textFill>
        </w:rPr>
        <w:t>广州市房地产中介协会</w:t>
      </w:r>
    </w:p>
    <w:p>
      <w:pPr>
        <w:spacing w:line="360" w:lineRule="auto"/>
        <w:jc w:val="center"/>
        <w:rPr>
          <w:rFonts w:ascii="Times New Roman" w:hAnsi="Times New Roman" w:eastAsia="黑体"/>
          <w:b/>
          <w:color w:val="000000" w:themeColor="text1"/>
          <w:sz w:val="36"/>
          <w:szCs w:val="36"/>
          <w14:textFill>
            <w14:solidFill>
              <w14:schemeClr w14:val="tx1"/>
            </w14:solidFill>
          </w14:textFill>
        </w:rPr>
      </w:pPr>
      <w:r>
        <w:rPr>
          <w:rFonts w:ascii="Times New Roman" w:hAnsi="Times New Roman" w:eastAsia="黑体"/>
          <w:b/>
          <w:color w:val="000000" w:themeColor="text1"/>
          <w:sz w:val="36"/>
          <w:szCs w:val="36"/>
          <w14:textFill>
            <w14:solidFill>
              <w14:schemeClr w14:val="tx1"/>
            </w14:solidFill>
          </w14:textFill>
        </w:rPr>
        <w:t>2023年</w:t>
      </w:r>
      <w:r>
        <w:rPr>
          <w:rFonts w:hint="eastAsia" w:ascii="Times New Roman" w:hAnsi="Times New Roman" w:eastAsia="黑体"/>
          <w:b/>
          <w:color w:val="000000" w:themeColor="text1"/>
          <w:sz w:val="36"/>
          <w:szCs w:val="36"/>
          <w14:textFill>
            <w14:solidFill>
              <w14:schemeClr w14:val="tx1"/>
            </w14:solidFill>
          </w14:textFill>
        </w:rPr>
        <w:t>3</w:t>
      </w:r>
      <w:r>
        <w:rPr>
          <w:rFonts w:ascii="Times New Roman" w:hAnsi="Times New Roman" w:eastAsia="黑体"/>
          <w:b/>
          <w:color w:val="000000" w:themeColor="text1"/>
          <w:sz w:val="36"/>
          <w:szCs w:val="36"/>
          <w14:textFill>
            <w14:solidFill>
              <w14:schemeClr w14:val="tx1"/>
            </w14:solidFill>
          </w14:textFill>
        </w:rPr>
        <w:t>月</w:t>
      </w:r>
    </w:p>
    <w:p>
      <w:pPr>
        <w:widowControl/>
        <w:jc w:val="distribute"/>
        <w:rPr>
          <w:rFonts w:ascii="Times New Roman" w:hAnsi="Times New Roman" w:eastAsia="黑体"/>
          <w:b/>
          <w:color w:val="FF0000"/>
          <w:sz w:val="28"/>
        </w:rPr>
        <w:sectPr>
          <w:footerReference r:id="rId4" w:type="default"/>
          <w:pgSz w:w="11906" w:h="16838"/>
          <w:pgMar w:top="1418" w:right="1418" w:bottom="1418" w:left="1418" w:header="851" w:footer="992" w:gutter="0"/>
          <w:pgNumType w:chapStyle="1"/>
          <w:cols w:space="425" w:num="1"/>
          <w:titlePg/>
          <w:docGrid w:linePitch="312" w:charSpace="0"/>
        </w:sectPr>
      </w:pPr>
      <w:r>
        <w:rPr>
          <w:rFonts w:ascii="Times New Roman" w:hAnsi="Times New Roman" w:eastAsia="黑体"/>
          <w:b/>
          <w:color w:val="FF0000"/>
          <w:sz w:val="28"/>
        </w:rPr>
        <w:br w:type="page"/>
      </w:r>
    </w:p>
    <w:sdt>
      <w:sdtPr>
        <w:rPr>
          <w:rFonts w:ascii="Times New Roman" w:hAnsi="Times New Roman" w:eastAsia="宋体" w:cs="Times New Roman"/>
          <w:b w:val="0"/>
          <w:bCs w:val="0"/>
          <w:color w:val="FF0000"/>
          <w:kern w:val="2"/>
          <w:sz w:val="21"/>
          <w:szCs w:val="22"/>
          <w:lang w:val="zh-CN"/>
        </w:rPr>
        <w:id w:val="-1410687693"/>
        <w:docPartObj>
          <w:docPartGallery w:val="Table of Contents"/>
          <w:docPartUnique/>
        </w:docPartObj>
      </w:sdtPr>
      <w:sdtEndPr>
        <w:rPr>
          <w:rFonts w:ascii="Times New Roman" w:hAnsi="Times New Roman" w:eastAsia="宋体" w:cs="Times New Roman"/>
          <w:b w:val="0"/>
          <w:bCs w:val="0"/>
          <w:color w:val="FF0000"/>
          <w:kern w:val="2"/>
          <w:sz w:val="21"/>
          <w:szCs w:val="22"/>
          <w:lang w:val="zh-CN"/>
        </w:rPr>
      </w:sdtEndPr>
      <w:sdtContent>
        <w:p>
          <w:pPr>
            <w:pStyle w:val="37"/>
            <w:spacing w:before="0" w:after="120" w:afterLines="50" w:line="240" w:lineRule="auto"/>
            <w:jc w:val="center"/>
            <w:rPr>
              <w:rFonts w:ascii="Times New Roman" w:hAnsi="Times New Roman" w:eastAsia="黑体" w:cs="Times New Roman"/>
              <w:color w:val="000000" w:themeColor="text1"/>
              <w:sz w:val="40"/>
              <w14:textFill>
                <w14:solidFill>
                  <w14:schemeClr w14:val="tx1"/>
                </w14:solidFill>
              </w14:textFill>
            </w:rPr>
          </w:pPr>
          <w:r>
            <w:rPr>
              <w:rFonts w:ascii="Times New Roman" w:hAnsi="Times New Roman" w:eastAsia="黑体" w:cs="Times New Roman"/>
              <w:color w:val="000000" w:themeColor="text1"/>
              <w:sz w:val="40"/>
              <w:lang w:val="zh-CN"/>
              <w14:textFill>
                <w14:solidFill>
                  <w14:schemeClr w14:val="tx1"/>
                </w14:solidFill>
              </w14:textFill>
            </w:rPr>
            <w:t>目  录</w:t>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rPr>
              <w:rFonts w:ascii="Times New Roman" w:hAnsi="Times New Roman" w:eastAsia="黑体" w:cs="Times New Roman"/>
              <w:color w:val="FF0000"/>
              <w:sz w:val="24"/>
              <w:szCs w:val="24"/>
            </w:rPr>
            <w:fldChar w:fldCharType="begin"/>
          </w:r>
          <w:r>
            <w:rPr>
              <w:rFonts w:ascii="Times New Roman" w:hAnsi="Times New Roman" w:cs="Times New Roman"/>
              <w:color w:val="FF0000"/>
            </w:rPr>
            <w:instrText xml:space="preserve"> TOC \o "1-3" \h \z \u </w:instrText>
          </w:r>
          <w:r>
            <w:rPr>
              <w:rFonts w:ascii="Times New Roman" w:hAnsi="Times New Roman" w:eastAsia="黑体" w:cs="Times New Roman"/>
              <w:color w:val="FF0000"/>
              <w:sz w:val="24"/>
              <w:szCs w:val="24"/>
            </w:rPr>
            <w:fldChar w:fldCharType="separate"/>
          </w:r>
          <w:r>
            <w:fldChar w:fldCharType="begin"/>
          </w:r>
          <w:r>
            <w:instrText xml:space="preserve"> HYPERLINK \l "_Toc129785086" </w:instrText>
          </w:r>
          <w:r>
            <w:fldChar w:fldCharType="separate"/>
          </w:r>
          <w:r>
            <w:rPr>
              <w:rStyle w:val="23"/>
              <w:rFonts w:ascii="Times New Roman" w:hAnsi="Times New Roman" w:eastAsia="黑体"/>
              <w:b/>
              <w:sz w:val="24"/>
              <w:u w:val="none"/>
            </w:rPr>
            <w:t>一、引言</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_Toc129785086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1</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"_Toc129785087" </w:instrText>
          </w:r>
          <w:r>
            <w:fldChar w:fldCharType="separate"/>
          </w:r>
          <w:r>
            <w:rPr>
              <w:rStyle w:val="23"/>
              <w:rFonts w:ascii="Times New Roman" w:hAnsi="Times New Roman" w:eastAsia="黑体"/>
              <w:b/>
              <w:sz w:val="24"/>
              <w:u w:val="none"/>
            </w:rPr>
            <w:t>二、2022年广州市房地产中介信用体系建设的新进展</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_Toc129785087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2</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"_Toc129785088" </w:instrText>
          </w:r>
          <w:r>
            <w:fldChar w:fldCharType="separate"/>
          </w:r>
          <w:r>
            <w:rPr>
              <w:rStyle w:val="23"/>
              <w:rFonts w:ascii="Times New Roman" w:hAnsi="Times New Roman" w:eastAsia="黑体"/>
              <w:b/>
              <w:sz w:val="24"/>
              <w:u w:val="none"/>
            </w:rPr>
            <w:t>三、中介机构信用状况</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_Toc129785088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3</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"_Toc129785089" </w:instrText>
          </w:r>
          <w:r>
            <w:fldChar w:fldCharType="separate"/>
          </w:r>
          <w:r>
            <w:rPr>
              <w:rStyle w:val="23"/>
              <w:rFonts w:ascii="Times New Roman" w:hAnsi="Times New Roman" w:eastAsia="黑体"/>
              <w:u w:val="none"/>
            </w:rPr>
            <w:t>（一）整体情况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_Toc129785089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"_Toc129785090" </w:instrText>
          </w:r>
          <w:r>
            <w:fldChar w:fldCharType="separate"/>
          </w:r>
          <w:r>
            <w:rPr>
              <w:rStyle w:val="23"/>
              <w:rFonts w:ascii="Times New Roman" w:hAnsi="Times New Roman" w:eastAsia="黑体"/>
              <w:u w:val="none"/>
            </w:rPr>
            <w:t>（二）市中介协会会员单位情况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_Toc129785090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"_Toc129785091" </w:instrText>
          </w:r>
          <w:r>
            <w:fldChar w:fldCharType="separate"/>
          </w:r>
          <w:r>
            <w:rPr>
              <w:rStyle w:val="23"/>
              <w:rFonts w:ascii="Times New Roman" w:hAnsi="Times New Roman" w:eastAsia="黑体"/>
              <w:b/>
              <w:sz w:val="24"/>
              <w:u w:val="none"/>
            </w:rPr>
            <w:t>四、中介服务品牌信用状况</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_Toc129785091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9</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"_Toc129785092" </w:instrText>
          </w:r>
          <w:r>
            <w:fldChar w:fldCharType="separate"/>
          </w:r>
          <w:r>
            <w:rPr>
              <w:rStyle w:val="23"/>
              <w:rFonts w:ascii="Times New Roman" w:hAnsi="Times New Roman" w:eastAsia="黑体"/>
              <w:b/>
              <w:sz w:val="24"/>
              <w:u w:val="none"/>
            </w:rPr>
            <w:t>五、从业人员信用状况</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_Toc129785092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13</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"_Toc129785093" </w:instrText>
          </w:r>
          <w:r>
            <w:fldChar w:fldCharType="separate"/>
          </w:r>
          <w:r>
            <w:rPr>
              <w:rStyle w:val="23"/>
              <w:rFonts w:ascii="Times New Roman" w:hAnsi="Times New Roman" w:eastAsia="黑体"/>
              <w:u w:val="none"/>
            </w:rPr>
            <w:t>（一）整体情况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_Toc129785093 \h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"_Toc129785094" </w:instrText>
          </w:r>
          <w:r>
            <w:fldChar w:fldCharType="separate"/>
          </w:r>
          <w:r>
            <w:rPr>
              <w:rStyle w:val="23"/>
              <w:rFonts w:ascii="Times New Roman" w:hAnsi="Times New Roman" w:eastAsia="黑体"/>
              <w:u w:val="none"/>
            </w:rPr>
            <w:t>（二）市中介协会个人会员情况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_Toc129785094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"_Toc129785095" </w:instrText>
          </w:r>
          <w:r>
            <w:fldChar w:fldCharType="separate"/>
          </w:r>
          <w:r>
            <w:rPr>
              <w:rStyle w:val="23"/>
              <w:rFonts w:ascii="Times New Roman" w:hAnsi="Times New Roman" w:eastAsia="黑体"/>
              <w:b/>
              <w:sz w:val="24"/>
              <w:u w:val="none"/>
            </w:rPr>
            <w:t>六、信用评分评级相关性分析</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_Toc129785095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16</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"_Toc129785096" </w:instrText>
          </w:r>
          <w:r>
            <w:fldChar w:fldCharType="separate"/>
          </w:r>
          <w:r>
            <w:rPr>
              <w:rStyle w:val="23"/>
              <w:rFonts w:ascii="Times New Roman" w:hAnsi="Times New Roman" w:eastAsia="黑体"/>
              <w:u w:val="none"/>
            </w:rPr>
            <w:t>（一）信用评分与行政处罚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_Toc129785096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"_Toc129785097" </w:instrText>
          </w:r>
          <w:r>
            <w:fldChar w:fldCharType="separate"/>
          </w:r>
          <w:r>
            <w:rPr>
              <w:rStyle w:val="23"/>
              <w:rFonts w:ascii="Times New Roman" w:hAnsi="Times New Roman" w:eastAsia="黑体"/>
              <w:u w:val="none"/>
            </w:rPr>
            <w:t>（二）信用等级与从业人员性别</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_Toc129785097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"_Toc129785098" </w:instrText>
          </w:r>
          <w:r>
            <w:fldChar w:fldCharType="separate"/>
          </w:r>
          <w:r>
            <w:rPr>
              <w:rStyle w:val="23"/>
              <w:rFonts w:ascii="Times New Roman" w:hAnsi="Times New Roman" w:eastAsia="黑体"/>
              <w:u w:val="none"/>
            </w:rPr>
            <w:t>（三）信用等级与从业人员年龄</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_Toc129785098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"_Toc129785099" </w:instrText>
          </w:r>
          <w:r>
            <w:fldChar w:fldCharType="separate"/>
          </w:r>
          <w:r>
            <w:rPr>
              <w:rStyle w:val="23"/>
              <w:rFonts w:ascii="Times New Roman" w:hAnsi="Times New Roman" w:eastAsia="黑体"/>
              <w:u w:val="none"/>
            </w:rPr>
            <w:t>（四）机构信用等级与从业人员信用等级</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_Toc129785099 \h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"_Toc129785100" </w:instrText>
          </w:r>
          <w:r>
            <w:fldChar w:fldCharType="separate"/>
          </w:r>
          <w:r>
            <w:rPr>
              <w:rStyle w:val="23"/>
              <w:rFonts w:ascii="Times New Roman" w:hAnsi="Times New Roman" w:eastAsia="黑体"/>
              <w:b/>
              <w:sz w:val="24"/>
              <w:u w:val="none"/>
            </w:rPr>
            <w:t>七、消费者投诉房地产中介案件情况分析</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_Toc129785100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20</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"_Toc129785101" </w:instrText>
          </w:r>
          <w:r>
            <w:fldChar w:fldCharType="separate"/>
          </w:r>
          <w:r>
            <w:rPr>
              <w:rStyle w:val="23"/>
              <w:rFonts w:ascii="Times New Roman" w:hAnsi="Times New Roman" w:eastAsia="黑体"/>
              <w:u w:val="none"/>
            </w:rPr>
            <w:t>（一）投诉案件事由</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_Toc129785101 \h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"_Toc129785106" </w:instrText>
          </w:r>
          <w:r>
            <w:fldChar w:fldCharType="separate"/>
          </w:r>
          <w:r>
            <w:rPr>
              <w:rStyle w:val="23"/>
              <w:rFonts w:ascii="Times New Roman" w:hAnsi="Times New Roman" w:eastAsia="黑体"/>
              <w:u w:val="none"/>
            </w:rPr>
            <w:t>（二）投诉对象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_Toc129785106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"_Toc129785110" </w:instrText>
          </w:r>
          <w:r>
            <w:fldChar w:fldCharType="separate"/>
          </w:r>
          <w:r>
            <w:rPr>
              <w:rStyle w:val="23"/>
              <w:rFonts w:ascii="Times New Roman" w:hAnsi="Times New Roman" w:eastAsia="黑体"/>
              <w:u w:val="none"/>
            </w:rPr>
            <w:t>（三）投诉区域分布</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_Toc129785110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"_Toc129785111" </w:instrText>
          </w:r>
          <w:r>
            <w:fldChar w:fldCharType="separate"/>
          </w:r>
          <w:r>
            <w:rPr>
              <w:rStyle w:val="23"/>
              <w:rFonts w:ascii="Times New Roman" w:hAnsi="Times New Roman" w:eastAsia="黑体"/>
              <w:u w:val="none"/>
            </w:rPr>
            <w:t>（四）投诉热点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_Toc129785111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"_Toc129785112" </w:instrText>
          </w:r>
          <w:r>
            <w:fldChar w:fldCharType="separate"/>
          </w:r>
          <w:r>
            <w:rPr>
              <w:rStyle w:val="23"/>
              <w:rFonts w:ascii="Times New Roman" w:hAnsi="Times New Roman" w:eastAsia="黑体"/>
              <w:b/>
              <w:sz w:val="24"/>
              <w:u w:val="none"/>
            </w:rPr>
            <w:t>八、行业自律举措</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_Toc129785112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28</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"_Toc129785113" </w:instrText>
          </w:r>
          <w:r>
            <w:fldChar w:fldCharType="separate"/>
          </w:r>
          <w:r>
            <w:rPr>
              <w:rStyle w:val="23"/>
              <w:rFonts w:ascii="Times New Roman" w:hAnsi="Times New Roman" w:eastAsia="黑体"/>
              <w:u w:val="none"/>
            </w:rPr>
            <w:t>（一）见证执行阳光承诺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_Toc129785113 \h </w:instrText>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"_Toc129785114" </w:instrText>
          </w:r>
          <w:r>
            <w:fldChar w:fldCharType="separate"/>
          </w:r>
          <w:r>
            <w:rPr>
              <w:rStyle w:val="23"/>
              <w:rFonts w:ascii="Times New Roman" w:hAnsi="Times New Roman" w:eastAsia="黑体"/>
              <w:u w:val="none"/>
            </w:rPr>
            <w:t>（二）发布《房地产中介服务规范》</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_Toc129785114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"_Toc129785115" </w:instrText>
          </w:r>
          <w:r>
            <w:fldChar w:fldCharType="separate"/>
          </w:r>
          <w:r>
            <w:rPr>
              <w:rStyle w:val="23"/>
              <w:rFonts w:ascii="Times New Roman" w:hAnsi="Times New Roman" w:eastAsia="黑体"/>
              <w:u w:val="none"/>
            </w:rPr>
            <w:t>（三）推动行业信用评价数据共享</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_Toc129785115 \h </w:instrText>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"_Toc129785116" </w:instrText>
          </w:r>
          <w:r>
            <w:fldChar w:fldCharType="separate"/>
          </w:r>
          <w:r>
            <w:rPr>
              <w:rStyle w:val="23"/>
              <w:rFonts w:ascii="Times New Roman" w:hAnsi="Times New Roman" w:eastAsia="黑体"/>
              <w:u w:val="none"/>
            </w:rPr>
            <w:t>（四）通过同业监督机制净化行业用人环境</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_Toc129785116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"_Toc129785117" </w:instrText>
          </w:r>
          <w:r>
            <w:fldChar w:fldCharType="separate"/>
          </w:r>
          <w:r>
            <w:rPr>
              <w:rStyle w:val="23"/>
              <w:rFonts w:ascii="Times New Roman" w:hAnsi="Times New Roman" w:eastAsia="黑体"/>
              <w:u w:val="none"/>
            </w:rPr>
            <w:t>（五）组织参加“稳租金、安心住”公开承诺活动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_Toc129785117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"_Toc129785118" </w:instrText>
          </w:r>
          <w:r>
            <w:fldChar w:fldCharType="separate"/>
          </w:r>
          <w:r>
            <w:rPr>
              <w:rStyle w:val="23"/>
              <w:rFonts w:ascii="Times New Roman" w:hAnsi="Times New Roman" w:eastAsia="黑体"/>
              <w:b/>
              <w:sz w:val="24"/>
              <w:u w:val="none"/>
            </w:rPr>
            <w:t>九、下一步工作规划</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_Toc129785118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35</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Style w:val="23"/>
              <w:rFonts w:ascii="Times New Roman" w:hAnsi="Times New Roman" w:eastAsia="黑体"/>
              <w:b/>
              <w:sz w:val="24"/>
              <w:u w:val="none"/>
            </w:rPr>
          </w:pPr>
          <w:r>
            <w:fldChar w:fldCharType="begin"/>
          </w:r>
          <w:r>
            <w:instrText xml:space="preserve"> HYPERLINK \l "_Toc129785119" </w:instrText>
          </w:r>
          <w:r>
            <w:fldChar w:fldCharType="separate"/>
          </w:r>
          <w:r>
            <w:rPr>
              <w:rStyle w:val="23"/>
              <w:rFonts w:ascii="Times New Roman" w:hAnsi="Times New Roman" w:eastAsia="黑体"/>
              <w:b/>
              <w:sz w:val="24"/>
              <w:u w:val="none"/>
            </w:rPr>
            <w:t>附件</w:t>
          </w:r>
          <w:r>
            <w:rPr>
              <w:rStyle w:val="23"/>
              <w:rFonts w:ascii="Times New Roman" w:hAnsi="Times New Roman" w:eastAsia="黑体"/>
              <w:b/>
              <w:sz w:val="24"/>
              <w:u w:val="none"/>
            </w:rPr>
            <w:tab/>
          </w:r>
          <w:r>
            <w:rPr>
              <w:rStyle w:val="23"/>
              <w:rFonts w:ascii="Times New Roman" w:hAnsi="Times New Roman" w:eastAsia="黑体"/>
              <w:b/>
              <w:sz w:val="24"/>
              <w:u w:val="none"/>
            </w:rPr>
            <w:fldChar w:fldCharType="begin"/>
          </w:r>
          <w:r>
            <w:rPr>
              <w:rStyle w:val="23"/>
              <w:rFonts w:ascii="Times New Roman" w:hAnsi="Times New Roman" w:eastAsia="黑体"/>
              <w:b/>
              <w:sz w:val="24"/>
              <w:u w:val="none"/>
            </w:rPr>
            <w:instrText xml:space="preserve"> PAGEREF _Toc129785119 \h </w:instrText>
          </w:r>
          <w:r>
            <w:rPr>
              <w:rStyle w:val="23"/>
              <w:rFonts w:ascii="Times New Roman" w:hAnsi="Times New Roman" w:eastAsia="黑体"/>
              <w:b/>
              <w:sz w:val="24"/>
              <w:u w:val="none"/>
            </w:rPr>
            <w:fldChar w:fldCharType="separate"/>
          </w:r>
          <w:r>
            <w:rPr>
              <w:rStyle w:val="23"/>
              <w:rFonts w:ascii="Times New Roman" w:hAnsi="Times New Roman" w:eastAsia="黑体"/>
              <w:b/>
              <w:sz w:val="24"/>
              <w:u w:val="none"/>
            </w:rPr>
            <w:t>36</w:t>
          </w:r>
          <w:r>
            <w:rPr>
              <w:rStyle w:val="23"/>
              <w:rFonts w:ascii="Times New Roman" w:hAnsi="Times New Roman" w:eastAsia="黑体"/>
              <w:b/>
              <w:sz w:val="24"/>
              <w:u w:val="none"/>
            </w:rPr>
            <w:fldChar w:fldCharType="end"/>
          </w:r>
          <w:r>
            <w:rPr>
              <w:rStyle w:val="23"/>
              <w:rFonts w:ascii="Times New Roman" w:hAnsi="Times New Roman" w:eastAsia="黑体"/>
              <w:b/>
              <w:sz w:val="24"/>
              <w:u w:val="none"/>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"_Toc129785120" </w:instrText>
          </w:r>
          <w:r>
            <w:fldChar w:fldCharType="separate"/>
          </w:r>
          <w:r>
            <w:rPr>
              <w:rStyle w:val="23"/>
              <w:rFonts w:ascii="Times New Roman" w:hAnsi="Times New Roman" w:eastAsia="黑体"/>
              <w:u w:val="none"/>
            </w:rPr>
            <w:t>1.信用档案及评分评级体系简介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_Toc129785120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"_Toc129785121" </w:instrText>
          </w:r>
          <w:r>
            <w:fldChar w:fldCharType="separate"/>
          </w:r>
          <w:r>
            <w:rPr>
              <w:rStyle w:val="23"/>
              <w:rFonts w:ascii="Times New Roman" w:hAnsi="Times New Roman" w:eastAsia="黑体"/>
              <w:u w:val="none"/>
            </w:rPr>
            <w:t>2.广州市房地产中介信用评分评级管理办法（2022年修订版）</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_Toc129785121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"_Toc129785122" </w:instrText>
          </w:r>
          <w:r>
            <w:fldChar w:fldCharType="separate"/>
          </w:r>
          <w:r>
            <w:rPr>
              <w:rStyle w:val="23"/>
              <w:rFonts w:ascii="Times New Roman" w:hAnsi="Times New Roman" w:eastAsia="黑体"/>
              <w:u w:val="none"/>
            </w:rPr>
            <w:t>3.广州市房地产中介信用评分指标（2022年修订版）</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_Toc129785122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"_Toc129785123" </w:instrText>
          </w:r>
          <w:r>
            <w:fldChar w:fldCharType="separate"/>
          </w:r>
          <w:r>
            <w:rPr>
              <w:rStyle w:val="23"/>
              <w:rFonts w:ascii="Times New Roman" w:hAnsi="Times New Roman" w:eastAsia="黑体"/>
              <w:u w:val="none"/>
            </w:rPr>
            <w:t>4.广州市房地产中介行业不良行为管理办法（2019年修订版）</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_Toc129785123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"_Toc129785124" </w:instrText>
          </w:r>
          <w:r>
            <w:fldChar w:fldCharType="separate"/>
          </w:r>
          <w:r>
            <w:rPr>
              <w:rStyle w:val="23"/>
              <w:rFonts w:ascii="Times New Roman" w:hAnsi="Times New Roman" w:eastAsia="黑体"/>
              <w:u w:val="none"/>
            </w:rPr>
            <w:t>5.广州市房地产中介服务品牌信用评分评级规则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_Toc129785124 \h </w:instrText>
          </w:r>
          <w:r>
            <w:rPr>
              <w:rFonts w:ascii="Times New Roman" w:hAnsi="Times New Roman" w:cs="Times New Roman"/>
            </w:rPr>
            <w:fldChar w:fldCharType="separate"/>
          </w:r>
          <w:r>
            <w:rPr>
              <w:rFonts w:ascii="Times New Roman" w:hAnsi="Times New Roman" w:cs="Times New Roman"/>
            </w:rPr>
            <w:t>63</w:t>
          </w:r>
          <w:r>
            <w:rPr>
              <w:rFonts w:ascii="Times New Roman" w:hAnsi="Times New Roman" w:cs="Times New Roman"/>
            </w:rPr>
            <w:fldChar w:fldCharType="end"/>
          </w:r>
          <w:r>
            <w:rPr>
              <w:rFonts w:ascii="Times New Roman" w:hAnsi="Times New Roman" w:cs="Times New Roman"/>
            </w:rPr>
            <w:fldChar w:fldCharType="end"/>
          </w:r>
        </w:p>
        <w:p>
          <w:pPr>
            <w:pStyle w:val="16"/>
            <w:keepNext w:val="0"/>
            <w:tabs>
              <w:tab w:val="right" w:leader="dot" w:pos="9060"/>
            </w:tabs>
            <w:kinsoku/>
            <w:wordWrap/>
            <w:overflowPunct/>
            <w:topLinePunct w:val="0"/>
            <w:autoSpaceDE/>
            <w:autoSpaceDN/>
            <w:bidi w:val="0"/>
            <w:adjustRightInd/>
            <w:snapToGrid/>
            <w:spacing w:line="520" w:lineRule="exact"/>
            <w:textAlignment w:val="auto"/>
            <w:rPr>
              <w:rFonts w:ascii="Times New Roman" w:hAnsi="Times New Roman" w:cs="Times New Roman"/>
              <w:kern w:val="2"/>
              <w:sz w:val="21"/>
            </w:rPr>
          </w:pPr>
          <w:r>
            <w:fldChar w:fldCharType="begin"/>
          </w:r>
          <w:r>
            <w:instrText xml:space="preserve"> HYPERLINK \l "_Toc129785125" </w:instrText>
          </w:r>
          <w:r>
            <w:fldChar w:fldCharType="separate"/>
          </w:r>
          <w:r>
            <w:rPr>
              <w:rStyle w:val="23"/>
              <w:rFonts w:ascii="Times New Roman" w:hAnsi="Times New Roman" w:eastAsia="黑体"/>
              <w:u w:val="none"/>
            </w:rPr>
            <w:t>6.2022年广州市房地产中介受全市住建系统行政处罚汇总表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_Toc129785125 \h </w:instrText>
          </w:r>
          <w:r>
            <w:rPr>
              <w:rFonts w:ascii="Times New Roman" w:hAnsi="Times New Roman" w:cs="Times New Roman"/>
            </w:rPr>
            <w:fldChar w:fldCharType="separate"/>
          </w:r>
          <w:r>
            <w:rPr>
              <w:rFonts w:ascii="Times New Roman" w:hAnsi="Times New Roman" w:cs="Times New Roman"/>
            </w:rPr>
            <w:t>65</w:t>
          </w:r>
          <w:r>
            <w:rPr>
              <w:rFonts w:ascii="Times New Roman" w:hAnsi="Times New Roman" w:cs="Times New Roman"/>
            </w:rPr>
            <w:fldChar w:fldCharType="end"/>
          </w:r>
          <w:r>
            <w:rPr>
              <w:rFonts w:ascii="Times New Roman" w:hAnsi="Times New Roman" w:cs="Times New Roman"/>
            </w:rPr>
            <w:fldChar w:fldCharType="end"/>
          </w:r>
        </w:p>
        <w:p>
          <w:pPr>
            <w:keepNext w:val="0"/>
            <w:kinsoku/>
            <w:wordWrap/>
            <w:overflowPunct/>
            <w:topLinePunct w:val="0"/>
            <w:autoSpaceDE/>
            <w:autoSpaceDN/>
            <w:bidi w:val="0"/>
            <w:adjustRightInd/>
            <w:snapToGrid/>
            <w:spacing w:line="520" w:lineRule="exact"/>
            <w:textAlignment w:val="auto"/>
            <w:rPr>
              <w:rFonts w:ascii="Times New Roman" w:hAnsi="Times New Roman"/>
              <w:color w:val="FF0000"/>
            </w:rPr>
          </w:pPr>
          <w:r>
            <w:rPr>
              <w:rFonts w:ascii="Times New Roman" w:hAnsi="Times New Roman"/>
              <w:b/>
              <w:bCs/>
              <w:color w:val="FF0000"/>
              <w:lang w:val="zh-CN"/>
            </w:rPr>
            <w:fldChar w:fldCharType="end"/>
          </w:r>
        </w:p>
      </w:sdtContent>
    </w:sdt>
    <w:p>
      <w:pPr>
        <w:pStyle w:val="2"/>
        <w:keepNext w:val="0"/>
        <w:pageBreakBefore/>
        <w:kinsoku/>
        <w:wordWrap/>
        <w:overflowPunct/>
        <w:topLinePunct w:val="0"/>
        <w:autoSpaceDE/>
        <w:autoSpaceDN/>
        <w:bidi w:val="0"/>
        <w:adjustRightInd/>
        <w:snapToGrid/>
        <w:spacing w:before="120" w:beforeLines="50" w:after="120" w:afterLines="50" w:line="520" w:lineRule="exact"/>
        <w:textAlignment w:val="auto"/>
        <w:rPr>
          <w:rFonts w:ascii="Times New Roman" w:hAnsi="Times New Roman" w:eastAsia="黑体"/>
          <w:bCs w:val="0"/>
          <w:color w:val="000000" w:themeColor="text1"/>
          <w:sz w:val="32"/>
          <w:szCs w:val="24"/>
          <w14:textFill>
            <w14:solidFill>
              <w14:schemeClr w14:val="tx1"/>
            </w14:solidFill>
          </w14:textFill>
        </w:rPr>
        <w:sectPr>
          <w:footerReference r:id="rId6" w:type="first"/>
          <w:footerReference r:id="rId5" w:type="default"/>
          <w:pgSz w:w="11906" w:h="16838"/>
          <w:pgMar w:top="1418" w:right="1418" w:bottom="1418" w:left="1418" w:header="851" w:footer="992" w:gutter="0"/>
          <w:pgNumType w:chapStyle="1"/>
          <w:cols w:space="425" w:num="1"/>
          <w:titlePg/>
          <w:docGrid w:linePitch="312" w:charSpace="0"/>
        </w:sectPr>
      </w:pPr>
      <w:bookmarkStart w:id="0" w:name="_Toc98168313"/>
      <w:bookmarkStart w:id="1" w:name="_Toc129785086"/>
    </w:p>
    <w:p>
      <w:pPr>
        <w:pStyle w:val="2"/>
        <w:keepNext w:val="0"/>
        <w:pageBreakBefore/>
        <w:spacing w:before="120" w:beforeLines="50" w:after="120" w:afterLines="50" w:line="360" w:lineRule="auto"/>
        <w:rPr>
          <w:rFonts w:ascii="Times New Roman" w:hAnsi="Times New Roman" w:eastAsia="黑体"/>
          <w:bCs w:val="0"/>
          <w:color w:val="000000" w:themeColor="text1"/>
          <w:sz w:val="24"/>
          <w:szCs w:val="24"/>
          <w14:textFill>
            <w14:solidFill>
              <w14:schemeClr w14:val="tx1"/>
            </w14:solidFill>
          </w14:textFill>
        </w:rPr>
      </w:pPr>
      <w:r>
        <w:rPr>
          <w:rFonts w:ascii="Times New Roman" w:hAnsi="Times New Roman" w:eastAsia="黑体"/>
          <w:bCs w:val="0"/>
          <w:color w:val="000000" w:themeColor="text1"/>
          <w:sz w:val="32"/>
          <w:szCs w:val="24"/>
          <w14:textFill>
            <w14:solidFill>
              <w14:schemeClr w14:val="tx1"/>
            </w14:solidFill>
          </w14:textFill>
        </w:rPr>
        <w:t>一、引言</w:t>
      </w:r>
      <w:bookmarkEnd w:id="0"/>
      <w:bookmarkEnd w:id="1"/>
    </w:p>
    <w:p>
      <w:pPr>
        <w:spacing w:line="360" w:lineRule="auto"/>
        <w:ind w:firstLine="480"/>
        <w:rPr>
          <w:rFonts w:ascii="Times New Roman" w:hAnsi="Times New Roman"/>
          <w:color w:val="000000" w:themeColor="text1"/>
          <w:kern w:val="0"/>
          <w:szCs w:val="24"/>
          <w:lang w:val="zh-TW"/>
          <w14:textFill>
            <w14:solidFill>
              <w14:schemeClr w14:val="tx1"/>
            </w14:solidFill>
          </w14:textFill>
        </w:rPr>
      </w:pPr>
      <w:r>
        <w:rPr>
          <w:rFonts w:ascii="Times New Roman" w:hAnsi="Times New Roman"/>
          <w:color w:val="000000" w:themeColor="text1"/>
          <w:kern w:val="0"/>
          <w:sz w:val="24"/>
          <w:szCs w:val="24"/>
          <w:lang w:val="zh-TW"/>
          <w14:textFill>
            <w14:solidFill>
              <w14:schemeClr w14:val="tx1"/>
            </w14:solidFill>
          </w14:textFill>
        </w:rPr>
        <w:t>为促进广州市房地产中介市场和行业</w:t>
      </w:r>
      <w:r>
        <w:rPr>
          <w:rFonts w:hint="eastAsia" w:ascii="Times New Roman" w:hAnsi="Times New Roman"/>
          <w:color w:val="000000" w:themeColor="text1"/>
          <w:kern w:val="0"/>
          <w:sz w:val="24"/>
          <w:szCs w:val="24"/>
          <w14:textFill>
            <w14:solidFill>
              <w14:schemeClr w14:val="tx1"/>
            </w14:solidFill>
          </w14:textFill>
        </w:rPr>
        <w:t>高质量</w:t>
      </w:r>
      <w:r>
        <w:rPr>
          <w:rFonts w:ascii="Times New Roman" w:hAnsi="Times New Roman"/>
          <w:color w:val="000000" w:themeColor="text1"/>
          <w:kern w:val="0"/>
          <w:sz w:val="24"/>
          <w:szCs w:val="24"/>
          <w:lang w:val="zh-TW"/>
          <w14:textFill>
            <w14:solidFill>
              <w14:schemeClr w14:val="tx1"/>
            </w14:solidFill>
          </w14:textFill>
        </w:rPr>
        <w:t>发展，加强房地产中介机构（以下简称“</w:t>
      </w:r>
      <w:r>
        <w:rPr>
          <w:rFonts w:hint="eastAsia" w:ascii="Times New Roman" w:hAnsi="Times New Roman"/>
          <w:color w:val="000000" w:themeColor="text1"/>
          <w:kern w:val="0"/>
          <w:sz w:val="24"/>
          <w:szCs w:val="24"/>
          <w:lang w:val="zh-TW"/>
          <w14:textFill>
            <w14:solidFill>
              <w14:schemeClr w14:val="tx1"/>
            </w14:solidFill>
          </w14:textFill>
        </w:rPr>
        <w:t>中介机构</w:t>
      </w:r>
      <w:r>
        <w:rPr>
          <w:rFonts w:ascii="Times New Roman" w:hAnsi="Times New Roman"/>
          <w:color w:val="000000" w:themeColor="text1"/>
          <w:kern w:val="0"/>
          <w:sz w:val="24"/>
          <w:szCs w:val="24"/>
          <w:lang w:val="zh-TW"/>
          <w14:textFill>
            <w14:solidFill>
              <w14:schemeClr w14:val="tx1"/>
            </w14:solidFill>
          </w14:textFill>
        </w:rPr>
        <w:t>”）与从业人员的信用管理，保障交易当事人合法权益，结合我市实际，广州市住房和城乡建设局（以下简称“市住建局”）于2017年7月24日发布《广州市房地产中介信用管理暂行规定》（以下简称“《暂行规定》”），并于2018年10月23日上线运行广州市房地产中介信用管理系统。</w:t>
      </w:r>
    </w:p>
    <w:p>
      <w:pPr>
        <w:spacing w:line="360" w:lineRule="auto"/>
        <w:ind w:firstLine="480"/>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val="zh-TW"/>
          <w14:textFill>
            <w14:solidFill>
              <w14:schemeClr w14:val="tx1"/>
            </w14:solidFill>
          </w14:textFill>
        </w:rPr>
        <w:t>201</w:t>
      </w:r>
      <w:r>
        <w:rPr>
          <w:rFonts w:ascii="Times New Roman" w:hAnsi="Times New Roman"/>
          <w:color w:val="000000" w:themeColor="text1"/>
          <w:kern w:val="0"/>
          <w:sz w:val="24"/>
          <w:szCs w:val="24"/>
          <w14:textFill>
            <w14:solidFill>
              <w14:schemeClr w14:val="tx1"/>
            </w14:solidFill>
          </w14:textFill>
        </w:rPr>
        <w:t>9</w:t>
      </w:r>
      <w:r>
        <w:rPr>
          <w:rFonts w:ascii="Times New Roman" w:hAnsi="Times New Roman"/>
          <w:color w:val="000000" w:themeColor="text1"/>
          <w:kern w:val="0"/>
          <w:sz w:val="24"/>
          <w:szCs w:val="24"/>
          <w:lang w:val="zh-TW"/>
          <w14:textFill>
            <w14:solidFill>
              <w14:schemeClr w14:val="tx1"/>
            </w14:solidFill>
          </w14:textFill>
        </w:rPr>
        <w:t>年</w:t>
      </w:r>
      <w:r>
        <w:rPr>
          <w:rFonts w:ascii="Times New Roman" w:hAnsi="Times New Roman"/>
          <w:color w:val="000000" w:themeColor="text1"/>
          <w:kern w:val="0"/>
          <w:sz w:val="24"/>
          <w:szCs w:val="24"/>
          <w14:textFill>
            <w14:solidFill>
              <w14:schemeClr w14:val="tx1"/>
            </w14:solidFill>
          </w14:textFill>
        </w:rPr>
        <w:t>5月，广州市房屋交易监管中心（以下简称“市交监中心”）与广州市房地产中介协会（以下简称“</w:t>
      </w:r>
      <w:r>
        <w:rPr>
          <w:rFonts w:hint="eastAsia" w:ascii="Times New Roman" w:hAnsi="Times New Roman"/>
          <w:color w:val="000000" w:themeColor="text1"/>
          <w:kern w:val="0"/>
          <w:sz w:val="24"/>
          <w:szCs w:val="24"/>
          <w14:textFill>
            <w14:solidFill>
              <w14:schemeClr w14:val="tx1"/>
            </w14:solidFill>
          </w14:textFill>
        </w:rPr>
        <w:t>市中介协会</w:t>
      </w:r>
      <w:r>
        <w:rPr>
          <w:rFonts w:ascii="Times New Roman" w:hAnsi="Times New Roman"/>
          <w:color w:val="000000" w:themeColor="text1"/>
          <w:kern w:val="0"/>
          <w:sz w:val="24"/>
          <w:szCs w:val="24"/>
          <w14:textFill>
            <w14:solidFill>
              <w14:schemeClr w14:val="tx1"/>
            </w14:solidFill>
          </w14:textFill>
        </w:rPr>
        <w:t>”）以广州市房地产中介信用管理系统建立的中介机构与从业人员信用档案数据为基础，编写了</w:t>
      </w:r>
      <w:r>
        <w:rPr>
          <w:rFonts w:hint="eastAsia" w:ascii="Times New Roman" w:hAnsi="Times New Roman"/>
          <w:color w:val="000000" w:themeColor="text1"/>
          <w:kern w:val="0"/>
          <w:sz w:val="24"/>
          <w:szCs w:val="24"/>
          <w14:textFill>
            <w14:solidFill>
              <w14:schemeClr w14:val="tx1"/>
            </w14:solidFill>
          </w14:textFill>
        </w:rPr>
        <w:t>第一份</w:t>
      </w:r>
      <w:r>
        <w:rPr>
          <w:rFonts w:ascii="Times New Roman" w:hAnsi="Times New Roman"/>
          <w:color w:val="000000" w:themeColor="text1"/>
          <w:kern w:val="0"/>
          <w:sz w:val="24"/>
          <w:szCs w:val="24"/>
          <w14:textFill>
            <w14:solidFill>
              <w14:schemeClr w14:val="tx1"/>
            </w14:solidFill>
          </w14:textFill>
        </w:rPr>
        <w:t>《广州市房地产中介信用白皮书》</w:t>
      </w:r>
      <w:r>
        <w:rPr>
          <w:rFonts w:hint="eastAsia" w:ascii="Times New Roman" w:hAnsi="Times New Roman"/>
          <w:color w:val="000000" w:themeColor="text1"/>
          <w:kern w:val="0"/>
          <w:sz w:val="24"/>
          <w:szCs w:val="24"/>
          <w14:textFill>
            <w14:solidFill>
              <w14:schemeClr w14:val="tx1"/>
            </w14:solidFill>
          </w14:textFill>
        </w:rPr>
        <w:t>年度报告</w:t>
      </w:r>
      <w:r>
        <w:rPr>
          <w:rFonts w:ascii="Times New Roman" w:hAnsi="Times New Roman"/>
          <w:color w:val="000000" w:themeColor="text1"/>
          <w:kern w:val="0"/>
          <w:sz w:val="24"/>
          <w:szCs w:val="24"/>
          <w14:textFill>
            <w14:solidFill>
              <w14:schemeClr w14:val="tx1"/>
            </w14:solidFill>
          </w14:textFill>
        </w:rPr>
        <w:t>并公开发布，受到了行业及社会的热烈、广泛关注，众多权威媒体纷纷报道、转载</w:t>
      </w:r>
      <w:r>
        <w:rPr>
          <w:rFonts w:hint="eastAsia" w:ascii="Times New Roman" w:hAnsi="Times New Roman"/>
          <w:color w:val="000000" w:themeColor="text1"/>
          <w:kern w:val="0"/>
          <w:sz w:val="24"/>
          <w:szCs w:val="24"/>
          <w14:textFill>
            <w14:solidFill>
              <w14:schemeClr w14:val="tx1"/>
            </w14:solidFill>
          </w14:textFill>
        </w:rPr>
        <w:t>；</w:t>
      </w:r>
      <w:r>
        <w:rPr>
          <w:rFonts w:ascii="Times New Roman" w:hAnsi="Times New Roman"/>
          <w:color w:val="000000" w:themeColor="text1"/>
          <w:kern w:val="0"/>
          <w:sz w:val="24"/>
          <w:szCs w:val="24"/>
          <w14:textFill>
            <w14:solidFill>
              <w14:schemeClr w14:val="tx1"/>
            </w14:solidFill>
          </w14:textFill>
        </w:rPr>
        <w:t>之后在2020年</w:t>
      </w:r>
      <w:r>
        <w:rPr>
          <w:rFonts w:hint="eastAsia" w:ascii="Times New Roman" w:hAnsi="Times New Roman"/>
          <w:color w:val="000000" w:themeColor="text1"/>
          <w:kern w:val="0"/>
          <w:sz w:val="24"/>
          <w:szCs w:val="24"/>
          <w14:textFill>
            <w14:solidFill>
              <w14:schemeClr w14:val="tx1"/>
            </w14:solidFill>
          </w14:textFill>
        </w:rPr>
        <w:t>6月</w:t>
      </w:r>
      <w:r>
        <w:rPr>
          <w:rFonts w:ascii="Times New Roman" w:hAnsi="Times New Roman"/>
          <w:color w:val="000000" w:themeColor="text1"/>
          <w:kern w:val="0"/>
          <w:sz w:val="24"/>
          <w:szCs w:val="24"/>
          <w14:textFill>
            <w14:solidFill>
              <w14:schemeClr w14:val="tx1"/>
            </w14:solidFill>
          </w14:textFill>
        </w:rPr>
        <w:t>、2021年</w:t>
      </w:r>
      <w:r>
        <w:rPr>
          <w:rFonts w:hint="eastAsia" w:ascii="Times New Roman" w:hAnsi="Times New Roman"/>
          <w:color w:val="000000" w:themeColor="text1"/>
          <w:kern w:val="0"/>
          <w:sz w:val="24"/>
          <w:szCs w:val="24"/>
          <w14:textFill>
            <w14:solidFill>
              <w14:schemeClr w14:val="tx1"/>
            </w14:solidFill>
          </w14:textFill>
        </w:rPr>
        <w:t>3月和</w:t>
      </w:r>
      <w:r>
        <w:rPr>
          <w:rFonts w:ascii="Times New Roman" w:hAnsi="Times New Roman"/>
          <w:color w:val="000000" w:themeColor="text1"/>
          <w:kern w:val="0"/>
          <w:sz w:val="24"/>
          <w:szCs w:val="24"/>
          <w14:textFill>
            <w14:solidFill>
              <w14:schemeClr w14:val="tx1"/>
            </w14:solidFill>
          </w14:textFill>
        </w:rPr>
        <w:t>2022年3月，市交监中心与市中介协会联合编写</w:t>
      </w:r>
      <w:r>
        <w:rPr>
          <w:rFonts w:hint="eastAsia" w:ascii="Times New Roman" w:hAnsi="Times New Roman"/>
          <w:color w:val="000000" w:themeColor="text1"/>
          <w:kern w:val="0"/>
          <w:sz w:val="24"/>
          <w:szCs w:val="24"/>
          <w14:textFill>
            <w14:solidFill>
              <w14:schemeClr w14:val="tx1"/>
            </w14:solidFill>
          </w14:textFill>
        </w:rPr>
        <w:t>了</w:t>
      </w:r>
      <w:r>
        <w:rPr>
          <w:rFonts w:ascii="Times New Roman" w:hAnsi="Times New Roman"/>
          <w:color w:val="000000" w:themeColor="text1"/>
          <w:kern w:val="0"/>
          <w:sz w:val="24"/>
          <w:szCs w:val="24"/>
          <w14:textFill>
            <w14:solidFill>
              <w14:schemeClr w14:val="tx1"/>
            </w14:solidFill>
          </w14:textFill>
        </w:rPr>
        <w:t>《广州市房地产中介信用白皮书》并对外发布。</w:t>
      </w:r>
    </w:p>
    <w:p>
      <w:pPr>
        <w:spacing w:line="360" w:lineRule="auto"/>
        <w:ind w:firstLine="480"/>
        <w:rPr>
          <w:rFonts w:ascii="Times New Roman" w:hAnsi="Times New Roman"/>
          <w:color w:val="000000" w:themeColor="text1"/>
          <w:kern w:val="0"/>
          <w:szCs w:val="24"/>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t>本报告是《广州市房地产中介信用白皮书》的第五份年度报告。</w:t>
      </w:r>
    </w:p>
    <w:p>
      <w:pPr>
        <w:pStyle w:val="2"/>
        <w:keepNext w:val="0"/>
        <w:pageBreakBefore/>
        <w:spacing w:before="120" w:beforeLines="50" w:after="120" w:afterLines="50" w:line="360" w:lineRule="auto"/>
        <w:rPr>
          <w:rFonts w:ascii="Times New Roman" w:hAnsi="Times New Roman" w:eastAsia="黑体"/>
          <w:bCs w:val="0"/>
          <w:color w:val="000000" w:themeColor="text1"/>
          <w:sz w:val="24"/>
          <w:szCs w:val="24"/>
          <w14:textFill>
            <w14:solidFill>
              <w14:schemeClr w14:val="tx1"/>
            </w14:solidFill>
          </w14:textFill>
        </w:rPr>
      </w:pPr>
      <w:bookmarkStart w:id="2" w:name="_Toc129785087"/>
      <w:r>
        <w:rPr>
          <w:rFonts w:ascii="Times New Roman" w:hAnsi="Times New Roman" w:eastAsia="黑体"/>
          <w:bCs w:val="0"/>
          <w:color w:val="000000" w:themeColor="text1"/>
          <w:sz w:val="32"/>
          <w:szCs w:val="24"/>
          <w14:textFill>
            <w14:solidFill>
              <w14:schemeClr w14:val="tx1"/>
            </w14:solidFill>
          </w14:textFill>
        </w:rPr>
        <w:t>二、2022年房地产中介信用体系建设新进展</w:t>
      </w:r>
      <w:bookmarkEnd w:id="2"/>
    </w:p>
    <w:p>
      <w:pPr>
        <w:spacing w:line="360" w:lineRule="auto"/>
        <w:ind w:firstLine="480" w:firstLineChars="200"/>
        <w:rPr>
          <w:rFonts w:ascii="Times New Roman" w:hAnsi="Times New Roman"/>
          <w:color w:val="FF0000"/>
          <w:kern w:val="0"/>
          <w:sz w:val="24"/>
          <w:szCs w:val="24"/>
          <w:lang w:val="zh-TW"/>
        </w:rPr>
      </w:pPr>
      <w:r>
        <w:rPr>
          <w:rFonts w:ascii="Times New Roman" w:hAnsi="Times New Roman"/>
          <w:color w:val="000000" w:themeColor="text1"/>
          <w:kern w:val="0"/>
          <w:sz w:val="24"/>
          <w:szCs w:val="24"/>
          <w:lang w:val="zh-TW"/>
          <w14:textFill>
            <w14:solidFill>
              <w14:schemeClr w14:val="tx1"/>
            </w14:solidFill>
          </w14:textFill>
        </w:rPr>
        <w:t>根据《广州市住房和城乡建设局关于2022年广州市房地产中介机构检查结果的通报》，市住建局已对7329家</w:t>
      </w:r>
      <w:r>
        <w:rPr>
          <w:rFonts w:ascii="Times New Roman" w:hAnsi="Times New Roman"/>
          <w:color w:val="000000" w:themeColor="text1"/>
          <w:kern w:val="0"/>
          <w:sz w:val="24"/>
          <w:szCs w:val="24"/>
          <w:lang w:val="zh-TW" w:eastAsia="zh-TW"/>
          <w14:textFill>
            <w14:solidFill>
              <w14:schemeClr w14:val="tx1"/>
            </w14:solidFill>
          </w14:textFill>
        </w:rPr>
        <w:t>中介机构</w:t>
      </w:r>
      <w:r>
        <w:rPr>
          <w:rFonts w:ascii="Times New Roman" w:hAnsi="Times New Roman"/>
          <w:color w:val="000000" w:themeColor="text1"/>
          <w:kern w:val="0"/>
          <w:sz w:val="24"/>
          <w:szCs w:val="24"/>
          <w:lang w:val="zh-TW"/>
          <w14:textFill>
            <w14:solidFill>
              <w14:schemeClr w14:val="tx1"/>
            </w14:solidFill>
          </w14:textFill>
        </w:rPr>
        <w:t>（</w:t>
      </w:r>
      <w:r>
        <w:rPr>
          <w:rFonts w:ascii="Times New Roman" w:hAnsi="Times New Roman"/>
          <w:color w:val="000000" w:themeColor="text1"/>
          <w:kern w:val="0"/>
          <w:sz w:val="24"/>
          <w:szCs w:val="24"/>
          <w:lang w:val="zh-TW" w:eastAsia="zh-TW"/>
          <w14:textFill>
            <w14:solidFill>
              <w14:schemeClr w14:val="tx1"/>
            </w14:solidFill>
          </w14:textFill>
        </w:rPr>
        <w:t>其中</w:t>
      </w:r>
      <w:r>
        <w:rPr>
          <w:rFonts w:hint="eastAsia" w:ascii="Times New Roman" w:hAnsi="Times New Roman"/>
          <w:color w:val="000000" w:themeColor="text1"/>
          <w:kern w:val="0"/>
          <w:sz w:val="24"/>
          <w:szCs w:val="24"/>
          <w:lang w:val="zh-TW" w:eastAsia="zh-TW"/>
          <w14:textFill>
            <w14:solidFill>
              <w14:schemeClr w14:val="tx1"/>
            </w14:solidFill>
          </w14:textFill>
        </w:rPr>
        <w:t>备案证书有效的3233家，</w:t>
      </w:r>
      <w:r>
        <w:rPr>
          <w:rFonts w:ascii="Times New Roman" w:hAnsi="Times New Roman"/>
          <w:color w:val="000000" w:themeColor="text1"/>
          <w:kern w:val="0"/>
          <w:sz w:val="24"/>
          <w:szCs w:val="24"/>
          <w:lang w:val="zh-TW" w:eastAsia="zh-TW"/>
          <w14:textFill>
            <w14:solidFill>
              <w14:schemeClr w14:val="tx1"/>
            </w14:solidFill>
          </w14:textFill>
        </w:rPr>
        <w:t>备案证书已注销</w:t>
      </w:r>
      <w:r>
        <w:rPr>
          <w:rFonts w:hint="eastAsia" w:ascii="Times New Roman" w:hAnsi="Times New Roman"/>
          <w:color w:val="000000" w:themeColor="text1"/>
          <w:kern w:val="0"/>
          <w:sz w:val="24"/>
          <w:szCs w:val="24"/>
          <w14:textFill>
            <w14:solidFill>
              <w14:schemeClr w14:val="tx1"/>
            </w14:solidFill>
          </w14:textFill>
        </w:rPr>
        <w:t>的</w:t>
      </w:r>
      <w:r>
        <w:rPr>
          <w:rFonts w:ascii="Times New Roman" w:hAnsi="Times New Roman"/>
          <w:color w:val="000000" w:themeColor="text1"/>
          <w:kern w:val="0"/>
          <w:sz w:val="24"/>
          <w:szCs w:val="24"/>
          <w:lang w:val="zh-TW"/>
          <w14:textFill>
            <w14:solidFill>
              <w14:schemeClr w14:val="tx1"/>
            </w14:solidFill>
          </w14:textFill>
        </w:rPr>
        <w:t>4096</w:t>
      </w:r>
      <w:r>
        <w:rPr>
          <w:rFonts w:ascii="Times New Roman" w:hAnsi="Times New Roman"/>
          <w:color w:val="000000" w:themeColor="text1"/>
          <w:kern w:val="0"/>
          <w:sz w:val="24"/>
          <w:szCs w:val="24"/>
          <w:lang w:val="zh-TW" w:eastAsia="zh-TW"/>
          <w14:textFill>
            <w14:solidFill>
              <w14:schemeClr w14:val="tx1"/>
            </w14:solidFill>
          </w14:textFill>
        </w:rPr>
        <w:t>家</w:t>
      </w:r>
      <w:r>
        <w:rPr>
          <w:rFonts w:ascii="Times New Roman" w:hAnsi="Times New Roman"/>
          <w:color w:val="000000" w:themeColor="text1"/>
          <w:kern w:val="0"/>
          <w:sz w:val="24"/>
          <w:szCs w:val="24"/>
          <w:lang w:val="zh-TW"/>
          <w14:textFill>
            <w14:solidFill>
              <w14:schemeClr w14:val="tx1"/>
            </w14:solidFill>
          </w14:textFill>
        </w:rPr>
        <w:t>）</w:t>
      </w:r>
      <w:r>
        <w:rPr>
          <w:rFonts w:hint="eastAsia" w:ascii="Times New Roman" w:hAnsi="Times New Roman"/>
          <w:color w:val="000000" w:themeColor="text1"/>
          <w:kern w:val="0"/>
          <w:sz w:val="24"/>
          <w:szCs w:val="24"/>
          <w:lang w:val="zh-TW"/>
          <w14:textFill>
            <w14:solidFill>
              <w14:schemeClr w14:val="tx1"/>
            </w14:solidFill>
          </w14:textFill>
        </w:rPr>
        <w:t>、</w:t>
      </w:r>
      <w:r>
        <w:rPr>
          <w:rFonts w:ascii="Times New Roman" w:hAnsi="Times New Roman"/>
          <w:color w:val="000000" w:themeColor="text1"/>
          <w:kern w:val="0"/>
          <w:sz w:val="24"/>
          <w:szCs w:val="24"/>
          <w:lang w:val="zh-TW" w:eastAsia="zh-TW"/>
          <w14:textFill>
            <w14:solidFill>
              <w14:schemeClr w14:val="tx1"/>
            </w14:solidFill>
          </w14:textFill>
        </w:rPr>
        <w:t>129504名从业人员（其中在职状态人员37457名，非在职状态人员92047名）建立</w:t>
      </w:r>
      <w:r>
        <w:rPr>
          <w:rFonts w:hint="eastAsia" w:ascii="Times New Roman" w:hAnsi="Times New Roman"/>
          <w:color w:val="000000" w:themeColor="text1"/>
          <w:kern w:val="0"/>
          <w:sz w:val="24"/>
          <w:szCs w:val="24"/>
          <w14:textFill>
            <w14:solidFill>
              <w14:schemeClr w14:val="tx1"/>
            </w14:solidFill>
          </w14:textFill>
        </w:rPr>
        <w:t>了</w:t>
      </w:r>
      <w:r>
        <w:rPr>
          <w:rFonts w:ascii="Times New Roman" w:hAnsi="Times New Roman"/>
          <w:color w:val="000000" w:themeColor="text1"/>
          <w:kern w:val="0"/>
          <w:sz w:val="24"/>
          <w:szCs w:val="24"/>
          <w:lang w:val="zh-TW" w:eastAsia="zh-TW"/>
          <w14:textFill>
            <w14:solidFill>
              <w14:schemeClr w14:val="tx1"/>
            </w14:solidFill>
          </w14:textFill>
        </w:rPr>
        <w:t>信用档案，</w:t>
      </w:r>
      <w:r>
        <w:rPr>
          <w:rFonts w:hint="eastAsia" w:ascii="Times New Roman" w:hAnsi="Times New Roman"/>
          <w:color w:val="000000" w:themeColor="text1"/>
          <w:kern w:val="0"/>
          <w:sz w:val="24"/>
          <w:szCs w:val="24"/>
          <w14:textFill>
            <w14:solidFill>
              <w14:schemeClr w14:val="tx1"/>
            </w14:solidFill>
          </w14:textFill>
        </w:rPr>
        <w:t>以上中介机构和从业人员的</w:t>
      </w:r>
      <w:r>
        <w:rPr>
          <w:rFonts w:ascii="Times New Roman" w:hAnsi="Times New Roman"/>
          <w:color w:val="000000" w:themeColor="text1"/>
          <w:kern w:val="0"/>
          <w:sz w:val="24"/>
          <w:szCs w:val="24"/>
          <w:lang w:val="zh-TW" w:eastAsia="zh-TW"/>
          <w14:textFill>
            <w14:solidFill>
              <w14:schemeClr w14:val="tx1"/>
            </w14:solidFill>
          </w14:textFill>
        </w:rPr>
        <w:t>信用信息</w:t>
      </w:r>
      <w:r>
        <w:rPr>
          <w:rFonts w:ascii="Times New Roman" w:hAnsi="Times New Roman"/>
          <w:color w:val="000000" w:themeColor="text1"/>
          <w:kern w:val="0"/>
          <w:sz w:val="24"/>
          <w:szCs w:val="24"/>
          <w14:textFill>
            <w14:solidFill>
              <w14:schemeClr w14:val="tx1"/>
            </w14:solidFill>
          </w14:textFill>
        </w:rPr>
        <w:t>已</w:t>
      </w:r>
      <w:r>
        <w:rPr>
          <w:rFonts w:ascii="Times New Roman" w:hAnsi="Times New Roman"/>
          <w:color w:val="000000" w:themeColor="text1"/>
          <w:kern w:val="0"/>
          <w:sz w:val="24"/>
          <w:szCs w:val="24"/>
          <w:lang w:val="zh-TW" w:eastAsia="zh-TW"/>
          <w14:textFill>
            <w14:solidFill>
              <w14:schemeClr w14:val="tx1"/>
            </w14:solidFill>
          </w14:textFill>
        </w:rPr>
        <w:t>通过市住建局网站（www.gzcc.gov.cn）向社会公示</w:t>
      </w:r>
      <w:r>
        <w:rPr>
          <w:rFonts w:hint="eastAsia" w:ascii="Times New Roman" w:hAnsi="Times New Roman"/>
          <w:color w:val="000000" w:themeColor="text1"/>
          <w:kern w:val="0"/>
          <w:sz w:val="24"/>
          <w:szCs w:val="24"/>
          <w:lang w:val="zh-TW"/>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市住建局</w:t>
      </w:r>
      <w:r>
        <w:rPr>
          <w:rFonts w:ascii="Times New Roman" w:hAnsi="Times New Roman"/>
          <w:color w:val="000000" w:themeColor="text1"/>
          <w:kern w:val="0"/>
          <w:sz w:val="24"/>
          <w:szCs w:val="24"/>
          <w:lang w:val="zh-TW" w:eastAsia="zh-TW"/>
          <w14:textFill>
            <w14:solidFill>
              <w14:schemeClr w14:val="tx1"/>
            </w14:solidFill>
          </w14:textFill>
        </w:rPr>
        <w:t>对办理了广州市房地产中介机构备案手续的中介机构（含分支机构）制作并发放</w:t>
      </w:r>
      <w:r>
        <w:rPr>
          <w:rFonts w:hint="eastAsia" w:ascii="Times New Roman" w:hAnsi="Times New Roman"/>
          <w:color w:val="000000" w:themeColor="text1"/>
          <w:kern w:val="0"/>
          <w:sz w:val="24"/>
          <w:szCs w:val="24"/>
          <w14:textFill>
            <w14:solidFill>
              <w14:schemeClr w14:val="tx1"/>
            </w14:solidFill>
          </w14:textFill>
        </w:rPr>
        <w:t>了</w:t>
      </w:r>
      <w:r>
        <w:rPr>
          <w:rFonts w:ascii="Times New Roman" w:hAnsi="Times New Roman"/>
          <w:color w:val="000000" w:themeColor="text1"/>
          <w:kern w:val="0"/>
          <w:sz w:val="24"/>
          <w:szCs w:val="24"/>
          <w:lang w:val="zh-TW" w:eastAsia="zh-TW"/>
          <w14:textFill>
            <w14:solidFill>
              <w14:schemeClr w14:val="tx1"/>
            </w14:solidFill>
          </w14:textFill>
        </w:rPr>
        <w:t>含信用信息二维码的《广州市房地产中介服务机构备案证书》</w:t>
      </w:r>
      <w:r>
        <w:rPr>
          <w:rFonts w:hint="eastAsia" w:ascii="Times New Roman" w:hAnsi="Times New Roman"/>
          <w:color w:val="000000" w:themeColor="text1"/>
          <w:kern w:val="0"/>
          <w:sz w:val="24"/>
          <w:szCs w:val="24"/>
          <w:lang w:val="zh-TW"/>
          <w14:textFill>
            <w14:solidFill>
              <w14:schemeClr w14:val="tx1"/>
            </w14:solidFill>
          </w14:textFill>
        </w:rPr>
        <w:t>，</w:t>
      </w:r>
      <w:r>
        <w:rPr>
          <w:rFonts w:ascii="Times New Roman" w:hAnsi="Times New Roman"/>
          <w:color w:val="000000" w:themeColor="text1"/>
          <w:kern w:val="0"/>
          <w:sz w:val="24"/>
          <w:szCs w:val="24"/>
          <w14:textFill>
            <w14:solidFill>
              <w14:schemeClr w14:val="tx1"/>
            </w14:solidFill>
          </w14:textFill>
        </w:rPr>
        <w:t>至2022年末市住建局</w:t>
      </w:r>
      <w:r>
        <w:rPr>
          <w:rFonts w:hint="eastAsia" w:ascii="Times New Roman" w:hAnsi="Times New Roman"/>
          <w:color w:val="000000" w:themeColor="text1"/>
          <w:kern w:val="0"/>
          <w:sz w:val="24"/>
          <w:szCs w:val="24"/>
          <w14:textFill>
            <w14:solidFill>
              <w14:schemeClr w14:val="tx1"/>
            </w14:solidFill>
          </w14:textFill>
        </w:rPr>
        <w:t>还</w:t>
      </w:r>
      <w:r>
        <w:rPr>
          <w:rFonts w:ascii="Times New Roman" w:hAnsi="Times New Roman"/>
          <w:color w:val="000000" w:themeColor="text1"/>
          <w:kern w:val="0"/>
          <w:sz w:val="24"/>
          <w:szCs w:val="24"/>
          <w:lang w:val="zh-TW"/>
          <w14:textFill>
            <w14:solidFill>
              <w14:schemeClr w14:val="tx1"/>
            </w14:solidFill>
          </w14:textFill>
        </w:rPr>
        <w:t>对约5.3万名从业人员制作并发放</w:t>
      </w:r>
      <w:r>
        <w:rPr>
          <w:rFonts w:ascii="Times New Roman" w:hAnsi="Times New Roman"/>
          <w:color w:val="000000" w:themeColor="text1"/>
          <w:kern w:val="0"/>
          <w:sz w:val="24"/>
          <w:szCs w:val="24"/>
          <w14:textFill>
            <w14:solidFill>
              <w14:schemeClr w14:val="tx1"/>
            </w14:solidFill>
          </w14:textFill>
        </w:rPr>
        <w:t>了</w:t>
      </w:r>
      <w:r>
        <w:rPr>
          <w:rFonts w:ascii="Times New Roman" w:hAnsi="Times New Roman"/>
          <w:color w:val="000000" w:themeColor="text1"/>
          <w:kern w:val="0"/>
          <w:sz w:val="24"/>
          <w:szCs w:val="24"/>
          <w:lang w:val="zh-TW"/>
          <w14:textFill>
            <w14:solidFill>
              <w14:schemeClr w14:val="tx1"/>
            </w14:solidFill>
          </w14:textFill>
        </w:rPr>
        <w:t>《广州市房地产中介服务人员信用信息卡》。</w:t>
      </w:r>
    </w:p>
    <w:p>
      <w:pPr>
        <w:spacing w:line="360" w:lineRule="auto"/>
        <w:ind w:firstLine="480"/>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t>市住建局2021年11月2日发布的《广州市房屋交易监督管理办法》对部分条款进行了修订。为进一步落实《广州市房屋交易监督管理办法》的相关规定，</w:t>
      </w:r>
      <w:r>
        <w:rPr>
          <w:rFonts w:ascii="Times New Roman" w:hAnsi="Times New Roman"/>
          <w:color w:val="000000" w:themeColor="text1"/>
          <w:kern w:val="0"/>
          <w:sz w:val="24"/>
          <w:szCs w:val="24"/>
          <w:lang w:val="zh-TW"/>
          <w14:textFill>
            <w14:solidFill>
              <w14:schemeClr w14:val="tx1"/>
            </w14:solidFill>
          </w14:textFill>
        </w:rPr>
        <w:t>市中介协会</w:t>
      </w:r>
      <w:r>
        <w:rPr>
          <w:rFonts w:ascii="Times New Roman" w:hAnsi="Times New Roman"/>
          <w:color w:val="000000" w:themeColor="text1"/>
          <w:kern w:val="0"/>
          <w:sz w:val="24"/>
          <w:szCs w:val="24"/>
          <w14:textFill>
            <w14:solidFill>
              <w14:schemeClr w14:val="tx1"/>
            </w14:solidFill>
          </w14:textFill>
        </w:rPr>
        <w:t>在广泛征求会员同行意见的基础上，对《广州市房地产中介信用评分指标》进行调整，</w:t>
      </w:r>
      <w:bookmarkStart w:id="303" w:name="_GoBack"/>
      <w:bookmarkEnd w:id="303"/>
      <w:r>
        <w:rPr>
          <w:rFonts w:ascii="Times New Roman" w:hAnsi="Times New Roman"/>
          <w:color w:val="000000" w:themeColor="text1"/>
          <w:kern w:val="0"/>
          <w:sz w:val="24"/>
          <w:szCs w:val="24"/>
          <w14:textFill>
            <w14:solidFill>
              <w14:schemeClr w14:val="tx1"/>
            </w14:solidFill>
          </w14:textFill>
        </w:rPr>
        <w:t>相关修订于12月7日经市中介协会行业自律委员会2022年第六次工作会议审议表决通过，调整的内容主要体现在：</w:t>
      </w:r>
    </w:p>
    <w:p>
      <w:pPr>
        <w:pStyle w:val="26"/>
        <w:spacing w:line="360" w:lineRule="auto"/>
        <w:ind w:firstLine="480" w:firstLineChars="200"/>
        <w:jc w:val="both"/>
        <w:rPr>
          <w:rFonts w:hint="default"/>
          <w:szCs w:val="32"/>
        </w:rPr>
      </w:pPr>
      <w:r>
        <w:rPr>
          <w:rFonts w:hint="default"/>
        </w:rPr>
        <w:t>1</w:t>
      </w:r>
      <w:r>
        <w:rPr>
          <w:rFonts w:hint="eastAsia"/>
          <w:lang w:val="en-US" w:eastAsia="zh-CN"/>
        </w:rPr>
        <w:t>.</w:t>
      </w:r>
      <w:r>
        <w:rPr>
          <w:rFonts w:hint="default"/>
          <w:szCs w:val="32"/>
        </w:rPr>
        <w:t>根据《广州市房屋交易监督管理办法》对部分不良行为指标进行修订。包括：</w:t>
      </w:r>
      <w:r>
        <w:rPr>
          <w:rFonts w:ascii="宋体" w:hAnsi="宋体" w:cs="宋体"/>
          <w:szCs w:val="32"/>
        </w:rPr>
        <w:t>①</w:t>
      </w:r>
      <w:r>
        <w:rPr>
          <w:rFonts w:hint="default"/>
          <w:szCs w:val="32"/>
        </w:rPr>
        <w:t>对原第7、14、25、26、76项不良行为指标进行修订；</w:t>
      </w:r>
      <w:r>
        <w:rPr>
          <w:rFonts w:ascii="宋体" w:hAnsi="宋体" w:cs="宋体"/>
          <w:szCs w:val="32"/>
        </w:rPr>
        <w:t>②</w:t>
      </w:r>
      <w:r>
        <w:rPr>
          <w:rFonts w:hint="default"/>
          <w:szCs w:val="32"/>
        </w:rPr>
        <w:t>新增1项B类不良行为指标（新增后为B类指标第24条），1项D类不良行为指标（新增后D类指标第27条）；</w:t>
      </w:r>
      <w:r>
        <w:rPr>
          <w:rFonts w:ascii="宋体" w:hAnsi="宋体" w:cs="宋体"/>
          <w:szCs w:val="32"/>
        </w:rPr>
        <w:t>③</w:t>
      </w:r>
      <w:r>
        <w:rPr>
          <w:rFonts w:hint="default"/>
          <w:szCs w:val="32"/>
        </w:rPr>
        <w:t>删除原第27项不良行为指标；</w:t>
      </w:r>
    </w:p>
    <w:p>
      <w:pPr>
        <w:pStyle w:val="26"/>
        <w:spacing w:line="360" w:lineRule="auto"/>
        <w:rPr>
          <w:rFonts w:hint="default"/>
        </w:rPr>
      </w:pPr>
      <w:r>
        <w:rPr>
          <w:rFonts w:hint="default"/>
        </w:rPr>
        <w:t>2</w:t>
      </w:r>
      <w:r>
        <w:rPr>
          <w:rFonts w:hint="eastAsia"/>
          <w:lang w:val="en-US" w:eastAsia="zh-CN"/>
        </w:rPr>
        <w:t>.</w:t>
      </w:r>
      <w:r>
        <w:rPr>
          <w:rFonts w:hint="default"/>
        </w:rPr>
        <w:t>调整</w:t>
      </w:r>
      <w:r>
        <w:rPr>
          <w:rFonts w:hint="default"/>
          <w:szCs w:val="32"/>
        </w:rPr>
        <w:t>原第8、36、48、55、58、66、71、74项不良行为指标</w:t>
      </w:r>
      <w:r>
        <w:rPr>
          <w:rFonts w:hint="default"/>
        </w:rPr>
        <w:t>的文字表述，同时将一个指标中对应多种行为的不良行为指标细分为多个指标，并根据危害程度的不同，重新确定不良行为指标的扣分等级；</w:t>
      </w:r>
    </w:p>
    <w:p>
      <w:pPr>
        <w:pStyle w:val="26"/>
        <w:spacing w:line="360" w:lineRule="auto"/>
        <w:rPr>
          <w:rFonts w:hint="default"/>
        </w:rPr>
      </w:pPr>
      <w:r>
        <w:rPr>
          <w:rFonts w:hint="default"/>
        </w:rPr>
        <w:t>3</w:t>
      </w:r>
      <w:r>
        <w:rPr>
          <w:rFonts w:hint="eastAsia"/>
          <w:lang w:val="en-US" w:eastAsia="zh-CN"/>
        </w:rPr>
        <w:t>.</w:t>
      </w:r>
      <w:r>
        <w:rPr>
          <w:rFonts w:hint="default"/>
        </w:rPr>
        <w:t>调整原第75项不良行为指标的扣分等级。</w:t>
      </w:r>
    </w:p>
    <w:p>
      <w:pPr>
        <w:spacing w:line="360" w:lineRule="auto"/>
        <w:ind w:firstLine="480"/>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t>修订后的《广州市房地产中介信用评分评级管理办法（2022年修订版）》和《广州市房地产中介信用评分指标（2022年修订版）》自2022年12月8日起正式实施。</w:t>
      </w:r>
    </w:p>
    <w:p>
      <w:pPr>
        <w:pStyle w:val="2"/>
        <w:pageBreakBefore/>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3" w:name="_Toc98168314"/>
      <w:bookmarkStart w:id="4" w:name="_Toc129785088"/>
      <w:r>
        <w:rPr>
          <w:rFonts w:ascii="Times New Roman" w:hAnsi="Times New Roman" w:eastAsia="黑体"/>
          <w:bCs w:val="0"/>
          <w:color w:val="000000" w:themeColor="text1"/>
          <w:sz w:val="32"/>
          <w:szCs w:val="24"/>
          <w14:textFill>
            <w14:solidFill>
              <w14:schemeClr w14:val="tx1"/>
            </w14:solidFill>
          </w14:textFill>
        </w:rPr>
        <w:t>三、中介机构信用状况</w:t>
      </w:r>
      <w:bookmarkEnd w:id="3"/>
      <w:bookmarkEnd w:id="4"/>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5" w:name="_Toc129785089"/>
      <w:bookmarkStart w:id="6" w:name="_Toc98168315"/>
      <w:r>
        <w:rPr>
          <w:rFonts w:ascii="Times New Roman" w:hAnsi="Times New Roman" w:eastAsia="黑体" w:cs="Times New Roman"/>
          <w:bCs w:val="0"/>
          <w:color w:val="000000" w:themeColor="text1"/>
          <w:sz w:val="28"/>
          <w:szCs w:val="28"/>
          <w14:textFill>
            <w14:solidFill>
              <w14:schemeClr w14:val="tx1"/>
            </w14:solidFill>
          </w14:textFill>
        </w:rPr>
        <w:t>（一）整体情况</w:t>
      </w:r>
      <w:bookmarkEnd w:id="5"/>
      <w:bookmarkEnd w:id="6"/>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截至2023年2月15日</w:t>
      </w:r>
      <w:r>
        <w:rPr>
          <w:rStyle w:val="25"/>
          <w:rFonts w:ascii="Times New Roman" w:hAnsi="Times New Roman"/>
          <w:color w:val="000000" w:themeColor="text1"/>
          <w:sz w:val="24"/>
          <w14:textFill>
            <w14:solidFill>
              <w14:schemeClr w14:val="tx1"/>
            </w14:solidFill>
          </w14:textFill>
        </w:rPr>
        <w:footnoteReference w:id="0"/>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广州市房地产中介行业已建立信用档案</w:t>
      </w:r>
      <w:r>
        <w:rPr>
          <w:rFonts w:ascii="Times New Roman" w:hAnsi="Times New Roman"/>
          <w:color w:val="000000" w:themeColor="text1"/>
          <w:sz w:val="24"/>
          <w14:textFill>
            <w14:solidFill>
              <w14:schemeClr w14:val="tx1"/>
            </w14:solidFill>
          </w14:textFill>
        </w:rPr>
        <w:t>且备案证书有效的中介机构共计3233家，分支机构1726家（两项合计备案门店共4959家）</w:t>
      </w:r>
      <w:r>
        <w:rPr>
          <w:rStyle w:val="25"/>
          <w:rFonts w:ascii="Times New Roman" w:hAnsi="Times New Roman"/>
          <w:color w:val="000000" w:themeColor="text1"/>
          <w:sz w:val="24"/>
          <w14:textFill>
            <w14:solidFill>
              <w14:schemeClr w14:val="tx1"/>
            </w14:solidFill>
          </w14:textFill>
        </w:rPr>
        <w:footnoteReference w:id="1"/>
      </w:r>
      <w:r>
        <w:rPr>
          <w:rFonts w:ascii="Times New Roman" w:hAnsi="Times New Roman"/>
          <w:color w:val="000000" w:themeColor="text1"/>
          <w:sz w:val="24"/>
          <w14:textFill>
            <w14:solidFill>
              <w14:schemeClr w14:val="tx1"/>
            </w14:solidFill>
          </w14:textFill>
        </w:rPr>
        <w:t>。</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备案门店分布方面，天河区是全市备案门店最多区域，共有1012家；番禺区651家备案门店居全市第二，越秀区575家居全市第三；海珠</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白云两区备案门店数量相对稳定，南沙</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从化两区备案门店数量全市最少。</w:t>
      </w:r>
    </w:p>
    <w:p>
      <w:pPr>
        <w:spacing w:line="360" w:lineRule="auto"/>
        <w:jc w:val="center"/>
        <w:rPr>
          <w:rFonts w:ascii="Times New Roman" w:hAnsi="Times New Roman"/>
          <w:color w:val="FF0000"/>
          <w:sz w:val="24"/>
        </w:rPr>
      </w:pPr>
      <w:r>
        <w:rPr>
          <w:rFonts w:ascii="Times New Roman" w:hAnsi="Times New Roman"/>
          <w:color w:val="FF0000"/>
          <w:sz w:val="24"/>
        </w:rPr>
        <w:drawing>
          <wp:inline distT="0" distB="0" distL="0" distR="0">
            <wp:extent cx="5773420" cy="2700655"/>
            <wp:effectExtent l="0" t="0" r="0" b="4445"/>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noChangeArrowheads="true"/>
                    </pic:cNvPicPr>
                  </pic:nvPicPr>
                  <pic:blipFill>
                    <a:blip r:embed="rId10">
                      <a:extLst>
                        <a:ext uri="{28A0092B-C50C-407E-A947-70E740481C1C}">
                          <a14:useLocalDpi xmlns:a14="http://schemas.microsoft.com/office/drawing/2010/main" val="false"/>
                        </a:ext>
                      </a:extLst>
                    </a:blip>
                    <a:srcRect/>
                    <a:stretch>
                      <a:fillRect/>
                    </a:stretch>
                  </pic:blipFill>
                  <pic:spPr>
                    <a:xfrm>
                      <a:off x="0" y="0"/>
                      <a:ext cx="5773420" cy="2700655"/>
                    </a:xfrm>
                    <a:prstGeom prst="rect">
                      <a:avLst/>
                    </a:prstGeom>
                    <a:noFill/>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图1  近3年中介机构的备案门店区域分布情况</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3233家中介机构中，平均存续年限为5.16年，较2021年延长1年；其中存续年限在3年以下的有1408家，较2021年</w:t>
      </w:r>
      <w:r>
        <w:rPr>
          <w:rFonts w:hint="eastAsia" w:ascii="Times New Roman" w:hAnsi="Times New Roman"/>
          <w:color w:val="000000" w:themeColor="text1"/>
          <w:sz w:val="24"/>
          <w:lang w:eastAsia="zh-CN"/>
          <w14:textFill>
            <w14:solidFill>
              <w14:schemeClr w14:val="tx1"/>
            </w14:solidFill>
          </w14:textFill>
        </w:rPr>
        <w:t>有所</w:t>
      </w:r>
      <w:r>
        <w:rPr>
          <w:rFonts w:ascii="Times New Roman" w:hAnsi="Times New Roman"/>
          <w:color w:val="000000" w:themeColor="text1"/>
          <w:sz w:val="24"/>
          <w14:textFill>
            <w14:solidFill>
              <w14:schemeClr w14:val="tx1"/>
            </w14:solidFill>
          </w14:textFill>
        </w:rPr>
        <w:t>减少</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有852家中介机构的存续年限在3-6年（含3年）；存续年限在6-9年（含6年）、9-12年（含9年）、12-15年（含12年）的中介机构数量</w:t>
      </w:r>
      <w:r>
        <w:rPr>
          <w:rFonts w:hint="eastAsia" w:ascii="Times New Roman" w:hAnsi="Times New Roman"/>
          <w:color w:val="000000" w:themeColor="text1"/>
          <w:sz w:val="24"/>
          <w:lang w:eastAsia="zh-CN"/>
          <w14:textFill>
            <w14:solidFill>
              <w14:schemeClr w14:val="tx1"/>
            </w14:solidFill>
          </w14:textFill>
        </w:rPr>
        <w:t>均</w:t>
      </w:r>
      <w:r>
        <w:rPr>
          <w:rFonts w:ascii="Times New Roman" w:hAnsi="Times New Roman"/>
          <w:color w:val="000000" w:themeColor="text1"/>
          <w:sz w:val="24"/>
          <w14:textFill>
            <w14:solidFill>
              <w14:schemeClr w14:val="tx1"/>
            </w14:solidFill>
          </w14:textFill>
        </w:rPr>
        <w:t>有增加。</w:t>
      </w:r>
      <w:r>
        <w:rPr>
          <w:rFonts w:hint="eastAsia" w:ascii="Times New Roman" w:hAnsi="Times New Roman"/>
          <w:color w:val="000000" w:themeColor="text1"/>
          <w:sz w:val="24"/>
          <w:lang w:eastAsia="zh-CN"/>
          <w14:textFill>
            <w14:solidFill>
              <w14:schemeClr w14:val="tx1"/>
            </w14:solidFill>
          </w14:textFill>
        </w:rPr>
        <w:t>其中，</w:t>
      </w:r>
      <w:r>
        <w:rPr>
          <w:rFonts w:ascii="Times New Roman" w:hAnsi="Times New Roman"/>
          <w:color w:val="000000" w:themeColor="text1"/>
          <w:sz w:val="24"/>
          <w14:textFill>
            <w14:solidFill>
              <w14:schemeClr w14:val="tx1"/>
            </w14:solidFill>
          </w14:textFill>
        </w:rPr>
        <w:t>2022年注销或未通过年检的中介机构</w:t>
      </w:r>
      <w:r>
        <w:rPr>
          <w:rFonts w:hint="eastAsia" w:ascii="Times New Roman" w:hAnsi="Times New Roman"/>
          <w:color w:val="000000" w:themeColor="text1"/>
          <w:sz w:val="24"/>
          <w:lang w:eastAsia="zh-CN"/>
          <w14:textFill>
            <w14:solidFill>
              <w14:schemeClr w14:val="tx1"/>
            </w14:solidFill>
          </w14:textFill>
        </w:rPr>
        <w:t>多为</w:t>
      </w:r>
      <w:r>
        <w:rPr>
          <w:rFonts w:ascii="Times New Roman" w:hAnsi="Times New Roman"/>
          <w:color w:val="000000" w:themeColor="text1"/>
          <w:sz w:val="24"/>
          <w14:textFill>
            <w14:solidFill>
              <w14:schemeClr w14:val="tx1"/>
            </w14:solidFill>
          </w14:textFill>
        </w:rPr>
        <w:t>近年新成立的。</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从图2</w:t>
      </w:r>
      <w:r>
        <w:rPr>
          <w:rFonts w:hint="eastAsia" w:ascii="Times New Roman" w:hAnsi="Times New Roman"/>
          <w:color w:val="000000" w:themeColor="text1"/>
          <w:sz w:val="24"/>
          <w:lang w:eastAsia="zh-CN"/>
          <w14:textFill>
            <w14:solidFill>
              <w14:schemeClr w14:val="tx1"/>
            </w14:solidFill>
          </w14:textFill>
        </w:rPr>
        <w:t>所示</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lang w:eastAsia="zh-CN"/>
          <w14:textFill>
            <w14:solidFill>
              <w14:schemeClr w14:val="tx1"/>
            </w14:solidFill>
          </w14:textFill>
        </w:rPr>
        <w:t>受多重因素影响，</w:t>
      </w:r>
      <w:r>
        <w:rPr>
          <w:rFonts w:ascii="Times New Roman" w:hAnsi="Times New Roman"/>
          <w:color w:val="000000" w:themeColor="text1"/>
          <w:sz w:val="24"/>
          <w14:textFill>
            <w14:solidFill>
              <w14:schemeClr w14:val="tx1"/>
            </w14:solidFill>
          </w14:textFill>
        </w:rPr>
        <w:t>目前全市大部分中介机构的存续年限较短。</w:t>
      </w:r>
    </w:p>
    <w:p>
      <w:pPr>
        <w:widowControl/>
        <w:jc w:val="center"/>
        <w:rPr>
          <w:rFonts w:ascii="Times New Roman" w:hAnsi="Times New Roman"/>
          <w:color w:val="FF0000"/>
          <w:sz w:val="24"/>
        </w:rPr>
      </w:pPr>
      <w:r>
        <w:rPr>
          <w:rFonts w:ascii="Times New Roman" w:hAnsi="Times New Roman"/>
          <w:color w:val="FF0000"/>
          <w:sz w:val="24"/>
        </w:rPr>
        <w:drawing>
          <wp:inline distT="0" distB="0" distL="0" distR="0">
            <wp:extent cx="5505450" cy="2749550"/>
            <wp:effectExtent l="0" t="0" r="0" b="0"/>
            <wp:docPr id="9"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true" noChangeArrowheads="true"/>
                    </pic:cNvPicPr>
                  </pic:nvPicPr>
                  <pic:blipFill>
                    <a:blip r:embed="rId11">
                      <a:extLst>
                        <a:ext uri="{28A0092B-C50C-407E-A947-70E740481C1C}">
                          <a14:useLocalDpi xmlns:a14="http://schemas.microsoft.com/office/drawing/2010/main" val="false"/>
                        </a:ext>
                      </a:extLst>
                    </a:blip>
                    <a:srcRect/>
                    <a:stretch>
                      <a:fillRect/>
                    </a:stretch>
                  </pic:blipFill>
                  <pic:spPr>
                    <a:xfrm>
                      <a:off x="0" y="0"/>
                      <a:ext cx="5505450" cy="2749550"/>
                    </a:xfrm>
                    <a:prstGeom prst="rect">
                      <a:avLst/>
                    </a:prstGeom>
                    <a:noFill/>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图2  中介机构存续年限</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3233家中介机构中，信用等级为“优质</w:t>
      </w:r>
      <w:r>
        <w:rPr>
          <w:rStyle w:val="25"/>
          <w:rFonts w:ascii="Times New Roman" w:hAnsi="Times New Roman"/>
          <w:color w:val="000000" w:themeColor="text1"/>
          <w:sz w:val="24"/>
          <w14:textFill>
            <w14:solidFill>
              <w14:schemeClr w14:val="tx1"/>
            </w14:solidFill>
          </w14:textFill>
        </w:rPr>
        <w:footnoteReference w:id="2"/>
      </w:r>
      <w:r>
        <w:rPr>
          <w:rFonts w:ascii="Times New Roman" w:hAnsi="Times New Roman"/>
          <w:color w:val="000000" w:themeColor="text1"/>
          <w:sz w:val="24"/>
          <w14:textFill>
            <w14:solidFill>
              <w14:schemeClr w14:val="tx1"/>
            </w14:solidFill>
          </w14:textFill>
        </w:rPr>
        <w:t>”有1</w:t>
      </w:r>
      <w:r>
        <w:rPr>
          <w:rFonts w:hint="eastAsia" w:ascii="Times New Roman" w:hAnsi="Times New Roman"/>
          <w:color w:val="000000" w:themeColor="text1"/>
          <w:sz w:val="24"/>
          <w14:textFill>
            <w14:solidFill>
              <w14:schemeClr w14:val="tx1"/>
            </w14:solidFill>
          </w14:textFill>
        </w:rPr>
        <w:t>9</w:t>
      </w:r>
      <w:r>
        <w:rPr>
          <w:rFonts w:ascii="Times New Roman" w:hAnsi="Times New Roman"/>
          <w:color w:val="000000" w:themeColor="text1"/>
          <w:sz w:val="24"/>
          <w14:textFill>
            <w14:solidFill>
              <w14:schemeClr w14:val="tx1"/>
            </w14:solidFill>
          </w14:textFill>
        </w:rPr>
        <w:t>家，较2021年度减少</w:t>
      </w:r>
      <w:r>
        <w:rPr>
          <w:rFonts w:hint="eastAsia" w:ascii="Times New Roman" w:hAnsi="Times New Roman"/>
          <w:color w:val="000000" w:themeColor="text1"/>
          <w:sz w:val="24"/>
          <w14:textFill>
            <w14:solidFill>
              <w14:schemeClr w14:val="tx1"/>
            </w14:solidFill>
          </w14:textFill>
        </w:rPr>
        <w:t>6</w:t>
      </w:r>
      <w:r>
        <w:rPr>
          <w:rFonts w:ascii="Times New Roman" w:hAnsi="Times New Roman"/>
          <w:color w:val="000000" w:themeColor="text1"/>
          <w:sz w:val="24"/>
          <w14:textFill>
            <w14:solidFill>
              <w14:schemeClr w14:val="tx1"/>
            </w14:solidFill>
          </w14:textFill>
        </w:rPr>
        <w:t>家；“良好</w:t>
      </w:r>
      <w:r>
        <w:rPr>
          <w:rStyle w:val="25"/>
          <w:rFonts w:ascii="Times New Roman" w:hAnsi="Times New Roman"/>
          <w:color w:val="000000" w:themeColor="text1"/>
          <w:sz w:val="24"/>
          <w14:textFill>
            <w14:solidFill>
              <w14:schemeClr w14:val="tx1"/>
            </w14:solidFill>
          </w14:textFill>
        </w:rPr>
        <w:footnoteReference w:id="3"/>
      </w:r>
      <w:r>
        <w:rPr>
          <w:rFonts w:ascii="Times New Roman" w:hAnsi="Times New Roman"/>
          <w:color w:val="000000" w:themeColor="text1"/>
          <w:sz w:val="24"/>
          <w14:textFill>
            <w14:solidFill>
              <w14:schemeClr w14:val="tx1"/>
            </w14:solidFill>
          </w14:textFill>
        </w:rPr>
        <w:t>”的有1</w:t>
      </w:r>
      <w:r>
        <w:rPr>
          <w:rFonts w:hint="eastAsia" w:ascii="Times New Roman" w:hAnsi="Times New Roman"/>
          <w:color w:val="000000" w:themeColor="text1"/>
          <w:sz w:val="24"/>
          <w14:textFill>
            <w14:solidFill>
              <w14:schemeClr w14:val="tx1"/>
            </w14:solidFill>
          </w14:textFill>
        </w:rPr>
        <w:t>4</w:t>
      </w:r>
      <w:r>
        <w:rPr>
          <w:rFonts w:ascii="Times New Roman" w:hAnsi="Times New Roman"/>
          <w:color w:val="000000" w:themeColor="text1"/>
          <w:sz w:val="24"/>
          <w14:textFill>
            <w14:solidFill>
              <w14:schemeClr w14:val="tx1"/>
            </w14:solidFill>
          </w14:textFill>
        </w:rPr>
        <w:t>家；“诚信</w:t>
      </w:r>
      <w:r>
        <w:rPr>
          <w:rStyle w:val="25"/>
          <w:rFonts w:ascii="Times New Roman" w:hAnsi="Times New Roman"/>
          <w:color w:val="000000" w:themeColor="text1"/>
          <w:sz w:val="24"/>
          <w14:textFill>
            <w14:solidFill>
              <w14:schemeClr w14:val="tx1"/>
            </w14:solidFill>
          </w14:textFill>
        </w:rPr>
        <w:footnoteReference w:id="4"/>
      </w:r>
      <w:r>
        <w:rPr>
          <w:rFonts w:ascii="Times New Roman" w:hAnsi="Times New Roman"/>
          <w:color w:val="000000" w:themeColor="text1"/>
          <w:sz w:val="24"/>
          <w14:textFill>
            <w14:solidFill>
              <w14:schemeClr w14:val="tx1"/>
            </w14:solidFill>
          </w14:textFill>
        </w:rPr>
        <w:t>”的数量共计2223家，比例占68.76%；“暂定诚信</w:t>
      </w:r>
      <w:r>
        <w:rPr>
          <w:rStyle w:val="25"/>
          <w:rFonts w:ascii="Times New Roman" w:hAnsi="Times New Roman"/>
          <w:color w:val="000000" w:themeColor="text1"/>
          <w:sz w:val="24"/>
          <w14:textFill>
            <w14:solidFill>
              <w14:schemeClr w14:val="tx1"/>
            </w14:solidFill>
          </w14:textFill>
        </w:rPr>
        <w:footnoteReference w:id="5"/>
      </w:r>
      <w:r>
        <w:rPr>
          <w:rFonts w:ascii="Times New Roman" w:hAnsi="Times New Roman"/>
          <w:color w:val="000000" w:themeColor="text1"/>
          <w:sz w:val="24"/>
          <w14:textFill>
            <w14:solidFill>
              <w14:schemeClr w14:val="tx1"/>
            </w14:solidFill>
          </w14:textFill>
        </w:rPr>
        <w:t>”的971家</w:t>
      </w:r>
      <w:r>
        <w:rPr>
          <w:rFonts w:hint="eastAsia" w:ascii="Times New Roman" w:hAnsi="Times New Roman"/>
          <w:color w:val="000000" w:themeColor="text1"/>
          <w:sz w:val="24"/>
          <w:lang w:eastAsia="zh-CN"/>
          <w14:textFill>
            <w14:solidFill>
              <w14:schemeClr w14:val="tx1"/>
            </w14:solidFill>
          </w14:textFill>
        </w:rPr>
        <w:t>，占比</w:t>
      </w:r>
      <w:r>
        <w:rPr>
          <w:rFonts w:ascii="Times New Roman" w:hAnsi="Times New Roman"/>
          <w:color w:val="000000" w:themeColor="text1"/>
          <w:sz w:val="24"/>
          <w14:textFill>
            <w14:solidFill>
              <w14:schemeClr w14:val="tx1"/>
            </w14:solidFill>
          </w14:textFill>
        </w:rPr>
        <w:t>30.03%；而信用等级为“预警</w:t>
      </w:r>
      <w:r>
        <w:rPr>
          <w:rStyle w:val="25"/>
          <w:rFonts w:ascii="Times New Roman" w:hAnsi="Times New Roman"/>
          <w:color w:val="000000" w:themeColor="text1"/>
          <w:sz w:val="24"/>
          <w14:textFill>
            <w14:solidFill>
              <w14:schemeClr w14:val="tx1"/>
            </w14:solidFill>
          </w14:textFill>
        </w:rPr>
        <w:footnoteReference w:id="6"/>
      </w:r>
      <w:r>
        <w:rPr>
          <w:rFonts w:ascii="Times New Roman" w:hAnsi="Times New Roman"/>
          <w:color w:val="000000" w:themeColor="text1"/>
          <w:sz w:val="24"/>
          <w14:textFill>
            <w14:solidFill>
              <w14:schemeClr w14:val="tx1"/>
            </w14:solidFill>
          </w14:textFill>
        </w:rPr>
        <w:t>”、“失信</w:t>
      </w:r>
      <w:r>
        <w:rPr>
          <w:rStyle w:val="25"/>
          <w:rFonts w:ascii="Times New Roman" w:hAnsi="Times New Roman"/>
          <w:color w:val="000000" w:themeColor="text1"/>
          <w:sz w:val="24"/>
          <w14:textFill>
            <w14:solidFill>
              <w14:schemeClr w14:val="tx1"/>
            </w14:solidFill>
          </w14:textFill>
        </w:rPr>
        <w:footnoteReference w:id="7"/>
      </w:r>
      <w:r>
        <w:rPr>
          <w:rFonts w:ascii="Times New Roman" w:hAnsi="Times New Roman"/>
          <w:color w:val="000000" w:themeColor="text1"/>
          <w:sz w:val="24"/>
          <w14:textFill>
            <w14:solidFill>
              <w14:schemeClr w14:val="tx1"/>
            </w14:solidFill>
          </w14:textFill>
        </w:rPr>
        <w:t>”的分别</w:t>
      </w:r>
      <w:r>
        <w:rPr>
          <w:rFonts w:hint="eastAsia" w:ascii="Times New Roman" w:hAnsi="Times New Roman"/>
          <w:color w:val="000000" w:themeColor="text1"/>
          <w:sz w:val="24"/>
          <w:lang w:eastAsia="zh-CN"/>
          <w14:textFill>
            <w14:solidFill>
              <w14:schemeClr w14:val="tx1"/>
            </w14:solidFill>
          </w14:textFill>
        </w:rPr>
        <w:t>为</w:t>
      </w:r>
      <w:r>
        <w:rPr>
          <w:rFonts w:ascii="Times New Roman" w:hAnsi="Times New Roman"/>
          <w:color w:val="000000" w:themeColor="text1"/>
          <w:sz w:val="24"/>
          <w14:textFill>
            <w14:solidFill>
              <w14:schemeClr w14:val="tx1"/>
            </w14:solidFill>
          </w14:textFill>
        </w:rPr>
        <w:t>1家和5家，其中“失信”的中介机构较2021年增加3家。如图3所示，“诚信”和“暂定诚信”等级依旧占中介机构的绝对主体，两者合计的比例达到98.79%。</w:t>
      </w:r>
    </w:p>
    <w:p>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4603115" cy="2700655"/>
            <wp:effectExtent l="0" t="0" r="0" b="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12">
                      <a:extLst>
                        <a:ext uri="{28A0092B-C50C-407E-A947-70E740481C1C}">
                          <a14:useLocalDpi xmlns:a14="http://schemas.microsoft.com/office/drawing/2010/main" val="false"/>
                        </a:ext>
                      </a:extLst>
                    </a:blip>
                    <a:srcRect/>
                    <a:stretch>
                      <a:fillRect/>
                    </a:stretch>
                  </pic:blipFill>
                  <pic:spPr>
                    <a:xfrm>
                      <a:off x="0" y="0"/>
                      <a:ext cx="4603115" cy="2700655"/>
                    </a:xfrm>
                    <a:prstGeom prst="rect">
                      <a:avLst/>
                    </a:prstGeom>
                    <a:noFill/>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图3  中介机构信用等级结构</w:t>
      </w:r>
    </w:p>
    <w:p>
      <w:pPr>
        <w:jc w:val="right"/>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jc w:val="center"/>
        <w:rPr>
          <w:rFonts w:ascii="Times New Roman" w:hAnsi="Times New Roman"/>
          <w:color w:val="000000" w:themeColor="text1"/>
          <w14:textFill>
            <w14:solidFill>
              <w14:schemeClr w14:val="tx1"/>
            </w14:solidFill>
          </w14:textFill>
        </w:rPr>
      </w:pPr>
    </w:p>
    <w:p>
      <w:pPr>
        <w:spacing w:line="360" w:lineRule="auto"/>
        <w:jc w:val="center"/>
        <w:rPr>
          <w:rFonts w:ascii="Times New Roman" w:hAnsi="Times New Roman"/>
          <w:b/>
          <w:color w:val="000000" w:themeColor="text1"/>
          <w:sz w:val="24"/>
          <w14:textFill>
            <w14:solidFill>
              <w14:schemeClr w14:val="tx1"/>
            </w14:solidFill>
          </w14:textFill>
        </w:rPr>
      </w:pPr>
      <w:r>
        <w:rPr>
          <w:rFonts w:ascii="Times New Roman" w:hAnsi="Times New Roman"/>
          <w:color w:val="000000" w:themeColor="text1"/>
          <w14:textFill>
            <w14:solidFill>
              <w14:schemeClr w14:val="tx1"/>
            </w14:solidFill>
          </w14:textFill>
        </w:rPr>
        <w:t>表1  2022年广州市信用等级为优质、良好、预警、失信的中介机构名单</w:t>
      </w:r>
    </w:p>
    <w:tbl>
      <w:tblPr>
        <w:tblStyle w:val="1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4603"/>
        <w:gridCol w:w="1276"/>
        <w:gridCol w:w="1275"/>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序号</w:t>
            </w:r>
          </w:p>
        </w:tc>
        <w:tc>
          <w:tcPr>
            <w:tcW w:w="4603" w:type="dxa"/>
            <w:shd w:val="clear" w:color="auto" w:fill="auto"/>
            <w:vAlign w:val="center"/>
          </w:tcPr>
          <w:p>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中介机构名称</w:t>
            </w:r>
          </w:p>
        </w:tc>
        <w:tc>
          <w:tcPr>
            <w:tcW w:w="1276" w:type="dxa"/>
            <w:shd w:val="clear" w:color="auto" w:fill="auto"/>
            <w:vAlign w:val="center"/>
          </w:tcPr>
          <w:p>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信用评分</w:t>
            </w:r>
          </w:p>
        </w:tc>
        <w:tc>
          <w:tcPr>
            <w:tcW w:w="1275" w:type="dxa"/>
            <w:shd w:val="clear" w:color="auto" w:fill="auto"/>
            <w:vAlign w:val="center"/>
          </w:tcPr>
          <w:p>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信用等级</w:t>
            </w:r>
          </w:p>
        </w:tc>
        <w:tc>
          <w:tcPr>
            <w:tcW w:w="1276" w:type="dxa"/>
            <w:shd w:val="clear" w:color="auto" w:fill="auto"/>
            <w:vAlign w:val="center"/>
          </w:tcPr>
          <w:p>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存续年限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pPr>
              <w:jc w:val="center"/>
              <w:rPr>
                <w:rFonts w:ascii="Times New Roman" w:hAnsi="Times New Roman" w:eastAsia="仿宋"/>
                <w:b/>
                <w:color w:val="000000" w:themeColor="text1"/>
                <w:sz w:val="23"/>
                <w:szCs w:val="23"/>
                <w14:textFill>
                  <w14:solidFill>
                    <w14:schemeClr w14:val="tx1"/>
                  </w14:solidFill>
                </w14:textFill>
              </w:rPr>
            </w:pPr>
            <w:r>
              <w:rPr>
                <w:rFonts w:ascii="Times New Roman" w:hAnsi="Times New Roman" w:eastAsia="仿宋"/>
                <w:b/>
                <w:color w:val="000000" w:themeColor="text1"/>
                <w:sz w:val="23"/>
                <w:szCs w:val="23"/>
                <w14:textFill>
                  <w14:solidFill>
                    <w14:schemeClr w14:val="tx1"/>
                  </w14:solidFill>
                </w14:textFill>
              </w:rPr>
              <w:t>优质等级机构名单（共1</w:t>
            </w:r>
            <w:r>
              <w:rPr>
                <w:rFonts w:hint="eastAsia" w:ascii="Times New Roman" w:hAnsi="Times New Roman" w:eastAsia="仿宋"/>
                <w:b/>
                <w:color w:val="000000" w:themeColor="text1"/>
                <w:sz w:val="23"/>
                <w:szCs w:val="23"/>
                <w14:textFill>
                  <w14:solidFill>
                    <w14:schemeClr w14:val="tx1"/>
                  </w14:solidFill>
                </w14:textFill>
              </w:rPr>
              <w:t>9</w:t>
            </w:r>
            <w:r>
              <w:rPr>
                <w:rFonts w:ascii="Times New Roman" w:hAnsi="Times New Roman" w:eastAsia="仿宋"/>
                <w:b/>
                <w:color w:val="000000" w:themeColor="text1"/>
                <w:sz w:val="23"/>
                <w:szCs w:val="23"/>
                <w14:textFill>
                  <w14:solidFill>
                    <w14:schemeClr w14:val="tx1"/>
                  </w14:solidFill>
                </w14:textFill>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广东合富房地产置业有限公司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w:t>
            </w:r>
            <w:r>
              <w:rPr>
                <w:rFonts w:hint="eastAsia" w:ascii="Times New Roman" w:hAnsi="Times New Roman" w:eastAsia="仿宋"/>
                <w:color w:val="000000" w:themeColor="text1"/>
                <w:sz w:val="24"/>
                <w:szCs w:val="24"/>
                <w14:textFill>
                  <w14:solidFill>
                    <w14:schemeClr w14:val="tx1"/>
                  </w14:solidFill>
                </w14:textFill>
              </w:rPr>
              <w:t>1</w:t>
            </w:r>
            <w:r>
              <w:rPr>
                <w:rFonts w:ascii="Times New Roman" w:hAnsi="Times New Roman" w:eastAsia="仿宋"/>
                <w:color w:val="000000" w:themeColor="text1"/>
                <w:sz w:val="24"/>
                <w:szCs w:val="24"/>
                <w14:textFill>
                  <w14:solidFill>
                    <w14:schemeClr w14:val="tx1"/>
                  </w14:solidFill>
                </w14:textFill>
              </w:rPr>
              <w:t>.5</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2</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广东链家房地产经纪有限公司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131.2</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3</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广州裕丰咨询顾问有限公司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119</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4</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广东中原地产代理有限公司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118.8</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广州市置家房地产代理有限公司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118.5</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6</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广州仁隆房地产销售代理有限公司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117</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7</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广州明昇房地产销售代理有限公司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115.1</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8</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广州市乐有家房产经纪有限公司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113</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9</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广州市德鸿行房地产代理有限公司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111</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10</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广州兆庭房地产销售代理有限公司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109.8</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11</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广州信礼房地产销售代理有限公司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108.9</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12</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广州富宸房地产销售代理有限公司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103.3</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13</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广州市宜居房地产代理有限公司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102.4</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14</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广州市添房置业有限公司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99.6</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15</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广州方圆生活服务有限公司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99</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16</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广州市智富房地产代理有限公司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97.2</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17</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广州盈创房地产销售代理有限公司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96.8</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hint="eastAsia" w:ascii="Times New Roman" w:hAnsi="Times New Roman" w:eastAsia="仿宋"/>
                <w:color w:val="000000" w:themeColor="text1"/>
                <w:sz w:val="24"/>
                <w:szCs w:val="23"/>
                <w14:textFill>
                  <w14:solidFill>
                    <w14:schemeClr w14:val="tx1"/>
                  </w14:solidFill>
                </w14:textFill>
              </w:rPr>
              <w:t>18</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广州裕德丰房地产咨询有限公司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w:t>
            </w:r>
            <w:r>
              <w:rPr>
                <w:rFonts w:hint="eastAsia" w:ascii="Times New Roman" w:hAnsi="Times New Roman" w:eastAsia="仿宋"/>
                <w:color w:val="000000" w:themeColor="text1"/>
                <w:sz w:val="24"/>
                <w:szCs w:val="24"/>
                <w14:textFill>
                  <w14:solidFill>
                    <w14:schemeClr w14:val="tx1"/>
                  </w14:solidFill>
                </w14:textFill>
              </w:rPr>
              <w:t>6</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w:t>
            </w:r>
            <w:r>
              <w:rPr>
                <w:rFonts w:hint="eastAsia" w:ascii="Times New Roman" w:hAnsi="Times New Roman" w:eastAsia="仿宋"/>
                <w:color w:val="000000" w:themeColor="text1"/>
                <w:sz w:val="24"/>
                <w:szCs w:val="23"/>
                <w14:textFill>
                  <w14:solidFill>
                    <w14:schemeClr w14:val="tx1"/>
                  </w14:solidFill>
                </w14:textFill>
              </w:rPr>
              <w:t>9</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广州连家地产代理有限公司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96.3</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pPr>
              <w:jc w:val="center"/>
              <w:rPr>
                <w:rFonts w:ascii="Times New Roman" w:hAnsi="Times New Roman" w:eastAsia="仿宋"/>
                <w:b/>
                <w:color w:val="000000" w:themeColor="text1"/>
                <w:sz w:val="23"/>
                <w:szCs w:val="23"/>
                <w14:textFill>
                  <w14:solidFill>
                    <w14:schemeClr w14:val="tx1"/>
                  </w14:solidFill>
                </w14:textFill>
              </w:rPr>
            </w:pPr>
            <w:r>
              <w:rPr>
                <w:rFonts w:ascii="Times New Roman" w:hAnsi="Times New Roman" w:eastAsia="仿宋"/>
                <w:b/>
                <w:color w:val="000000" w:themeColor="text1"/>
                <w:sz w:val="23"/>
                <w:szCs w:val="23"/>
                <w14:textFill>
                  <w14:solidFill>
                    <w14:schemeClr w14:val="tx1"/>
                  </w14:solidFill>
                </w14:textFill>
              </w:rPr>
              <w:t>良好等级机构名单（共1</w:t>
            </w:r>
            <w:r>
              <w:rPr>
                <w:rFonts w:hint="eastAsia" w:ascii="Times New Roman" w:hAnsi="Times New Roman" w:eastAsia="仿宋"/>
                <w:b/>
                <w:color w:val="000000" w:themeColor="text1"/>
                <w:sz w:val="23"/>
                <w:szCs w:val="23"/>
                <w14:textFill>
                  <w14:solidFill>
                    <w14:schemeClr w14:val="tx1"/>
                  </w14:solidFill>
                </w14:textFill>
              </w:rPr>
              <w:t>4</w:t>
            </w:r>
            <w:r>
              <w:rPr>
                <w:rFonts w:ascii="Times New Roman" w:hAnsi="Times New Roman" w:eastAsia="仿宋"/>
                <w:b/>
                <w:color w:val="000000" w:themeColor="text1"/>
                <w:sz w:val="23"/>
                <w:szCs w:val="23"/>
                <w14:textFill>
                  <w14:solidFill>
                    <w14:schemeClr w14:val="tx1"/>
                  </w14:solidFill>
                </w14:textFill>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房六六置业(广州)有限公司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98.3</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2</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广州保利爱家房地产经纪有限公司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96.2</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3</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广东德诚行地产集团有限公司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94.5</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4</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广州市中营房地产代理有限公司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94.5</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广州雅丰房地产销售代理有限公司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94</w:t>
            </w:r>
            <w:r>
              <w:rPr>
                <w:rFonts w:hint="eastAsia" w:ascii="Times New Roman" w:hAnsi="Times New Roman" w:eastAsia="仿宋"/>
                <w:color w:val="000000" w:themeColor="text1"/>
                <w:sz w:val="24"/>
                <w:szCs w:val="24"/>
                <w14:textFill>
                  <w14:solidFill>
                    <w14:schemeClr w14:val="tx1"/>
                  </w14:solidFill>
                </w14:textFill>
              </w:rPr>
              <w:t>.5</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6</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广州市新易房地产代理有限公司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93.</w:t>
            </w:r>
            <w:r>
              <w:rPr>
                <w:rFonts w:hint="eastAsia" w:ascii="Times New Roman" w:hAnsi="Times New Roman" w:eastAsia="仿宋"/>
                <w:color w:val="000000" w:themeColor="text1"/>
                <w:sz w:val="24"/>
                <w:szCs w:val="24"/>
                <w14:textFill>
                  <w14:solidFill>
                    <w14:schemeClr w14:val="tx1"/>
                  </w14:solidFill>
                </w14:textFill>
              </w:rPr>
              <w:t>8</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7</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广州瀚信置业有限公司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92.9</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8</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广州亿诚房地产咨询有限公司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92.4</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9</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广州市海穗房地产代理有限公司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92.1</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10</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广州市纵博房地产代理有限公司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11</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广州市禧汇房地产代理有限公司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91.8</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12</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广州市安佳房地产代理有限公司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w:t>
            </w:r>
            <w:r>
              <w:rPr>
                <w:rFonts w:hint="eastAsia" w:ascii="Times New Roman" w:hAnsi="Times New Roman" w:eastAsia="仿宋"/>
                <w:color w:val="000000" w:themeColor="text1"/>
                <w:sz w:val="24"/>
                <w:szCs w:val="24"/>
                <w14:textFill>
                  <w14:solidFill>
                    <w14:schemeClr w14:val="tx1"/>
                  </w14:solidFill>
                </w14:textFill>
              </w:rPr>
              <w:t>2.0</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13</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广东合富辉煌房地产顾问有限公司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90.2</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14</w:t>
            </w:r>
          </w:p>
        </w:tc>
        <w:tc>
          <w:tcPr>
            <w:tcW w:w="4603"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广州全洲房地产咨询有限公司</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w:t>
            </w:r>
          </w:p>
        </w:tc>
        <w:tc>
          <w:tcPr>
            <w:tcW w:w="1275"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pPr>
              <w:jc w:val="center"/>
              <w:rPr>
                <w:rFonts w:ascii="Times New Roman" w:hAnsi="Times New Roman" w:eastAsia="仿宋"/>
                <w:b/>
                <w:color w:val="000000" w:themeColor="text1"/>
                <w:sz w:val="23"/>
                <w:szCs w:val="23"/>
                <w14:textFill>
                  <w14:solidFill>
                    <w14:schemeClr w14:val="tx1"/>
                  </w14:solidFill>
                </w14:textFill>
              </w:rPr>
            </w:pPr>
            <w:r>
              <w:rPr>
                <w:rFonts w:ascii="Times New Roman" w:hAnsi="Times New Roman" w:eastAsia="仿宋"/>
                <w:b/>
                <w:color w:val="000000" w:themeColor="text1"/>
                <w:sz w:val="23"/>
                <w:szCs w:val="23"/>
                <w14:textFill>
                  <w14:solidFill>
                    <w14:schemeClr w14:val="tx1"/>
                  </w14:solidFill>
                </w14:textFill>
              </w:rPr>
              <w:t>预警等级机构名单（1家）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3"/>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w:t>
            </w:r>
          </w:p>
        </w:tc>
        <w:tc>
          <w:tcPr>
            <w:tcW w:w="4603"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广州市上居房地产代理有限公司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62</w:t>
            </w:r>
          </w:p>
        </w:tc>
        <w:tc>
          <w:tcPr>
            <w:tcW w:w="1275"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预警</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pPr>
              <w:jc w:val="center"/>
              <w:rPr>
                <w:rFonts w:ascii="Times New Roman" w:hAnsi="Times New Roman" w:eastAsia="仿宋"/>
                <w:b/>
                <w:color w:val="000000" w:themeColor="text1"/>
                <w:sz w:val="23"/>
                <w:szCs w:val="23"/>
                <w14:textFill>
                  <w14:solidFill>
                    <w14:schemeClr w14:val="tx1"/>
                  </w14:solidFill>
                </w14:textFill>
              </w:rPr>
            </w:pPr>
            <w:r>
              <w:rPr>
                <w:rFonts w:ascii="Times New Roman" w:hAnsi="Times New Roman" w:eastAsia="仿宋"/>
                <w:b/>
                <w:color w:val="000000" w:themeColor="text1"/>
                <w:sz w:val="23"/>
                <w:szCs w:val="23"/>
                <w14:textFill>
                  <w14:solidFill>
                    <w14:schemeClr w14:val="tx1"/>
                  </w14:solidFill>
                </w14:textFill>
              </w:rPr>
              <w:t>失信等级机构名单（共5家）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w:t>
            </w:r>
          </w:p>
        </w:tc>
        <w:tc>
          <w:tcPr>
            <w:tcW w:w="4603"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广州市有一家房地产代理有限公司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59</w:t>
            </w:r>
          </w:p>
        </w:tc>
        <w:tc>
          <w:tcPr>
            <w:tcW w:w="1275"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失信</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2</w:t>
            </w:r>
          </w:p>
        </w:tc>
        <w:tc>
          <w:tcPr>
            <w:tcW w:w="4603"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广州晟创房地产代理有限公司</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58.5</w:t>
            </w:r>
          </w:p>
        </w:tc>
        <w:tc>
          <w:tcPr>
            <w:tcW w:w="1275"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失信</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3</w:t>
            </w:r>
          </w:p>
        </w:tc>
        <w:tc>
          <w:tcPr>
            <w:tcW w:w="4603"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广州幸福汇房产代理有限公司</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58.5</w:t>
            </w:r>
          </w:p>
        </w:tc>
        <w:tc>
          <w:tcPr>
            <w:tcW w:w="1275"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失信</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4</w:t>
            </w:r>
          </w:p>
        </w:tc>
        <w:tc>
          <w:tcPr>
            <w:tcW w:w="4603"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广州房炫网电子商务有限公司</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56.5</w:t>
            </w:r>
          </w:p>
        </w:tc>
        <w:tc>
          <w:tcPr>
            <w:tcW w:w="1275"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失信</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w:t>
            </w:r>
          </w:p>
        </w:tc>
        <w:tc>
          <w:tcPr>
            <w:tcW w:w="4603"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广州美居房地产咨询有限公司</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55</w:t>
            </w:r>
          </w:p>
        </w:tc>
        <w:tc>
          <w:tcPr>
            <w:tcW w:w="1275"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失信</w:t>
            </w:r>
          </w:p>
        </w:tc>
        <w:tc>
          <w:tcPr>
            <w:tcW w:w="1276" w:type="dxa"/>
            <w:shd w:val="clear" w:color="auto" w:fill="auto"/>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不满1年</w:t>
            </w:r>
          </w:p>
        </w:tc>
      </w:tr>
    </w:tbl>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注：以上信用评分评级统计周期为2022年1月1日至12月31日，为年度信用评分评级。</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sz w:val="24"/>
          <w14:textFill>
            <w14:solidFill>
              <w14:schemeClr w14:val="tx1"/>
            </w14:solidFill>
          </w14:textFill>
        </w:rPr>
        <w:t>广州市共有8家中介机构2020-2022年连续3年的信用等级为“优质”，具体名单见表2。有3家中介机构连续3年的信用等级为良好及以上，具体名单见表3。</w:t>
      </w:r>
    </w:p>
    <w:p>
      <w:pPr>
        <w:jc w:val="center"/>
        <w:rPr>
          <w:rFonts w:ascii="Times New Roman" w:hAnsi="Times New Roman"/>
          <w:color w:val="000000" w:themeColor="text1"/>
          <w14:textFill>
            <w14:solidFill>
              <w14:schemeClr w14:val="tx1"/>
            </w14:solidFill>
          </w14:textFill>
        </w:rPr>
      </w:pPr>
    </w:p>
    <w:p>
      <w:pPr>
        <w:jc w:val="center"/>
        <w:rPr>
          <w:rFonts w:ascii="Times New Roman" w:hAnsi="Times New Roman"/>
          <w:b/>
          <w:color w:val="000000" w:themeColor="text1"/>
          <w:sz w:val="24"/>
          <w14:textFill>
            <w14:solidFill>
              <w14:schemeClr w14:val="tx1"/>
            </w14:solidFill>
          </w14:textFill>
        </w:rPr>
      </w:pPr>
      <w:r>
        <w:rPr>
          <w:rFonts w:ascii="Times New Roman" w:hAnsi="Times New Roman"/>
          <w:color w:val="000000" w:themeColor="text1"/>
          <w14:textFill>
            <w14:solidFill>
              <w14:schemeClr w14:val="tx1"/>
            </w14:solidFill>
          </w14:textFill>
        </w:rPr>
        <w:t>表2  2020-2022年广州市信用等级连续为优质的中介机构名单（共8家）</w:t>
      </w:r>
    </w:p>
    <w:tbl>
      <w:tblPr>
        <w:tblStyle w:val="19"/>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678"/>
        <w:gridCol w:w="241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序号</w:t>
            </w:r>
          </w:p>
        </w:tc>
        <w:tc>
          <w:tcPr>
            <w:tcW w:w="4678"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中介机构名称</w:t>
            </w:r>
          </w:p>
        </w:tc>
        <w:tc>
          <w:tcPr>
            <w:tcW w:w="2410"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2022年信用评分</w:t>
            </w:r>
          </w:p>
        </w:tc>
        <w:tc>
          <w:tcPr>
            <w:tcW w:w="1380"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存续年限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1</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广东合富房地产置业有限公司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13</w:t>
            </w:r>
            <w:r>
              <w:rPr>
                <w:rFonts w:hint="eastAsia" w:ascii="Times New Roman" w:hAnsi="Times New Roman" w:eastAsia="仿宋"/>
                <w:sz w:val="24"/>
                <w:szCs w:val="23"/>
              </w:rPr>
              <w:t>1</w:t>
            </w:r>
            <w:r>
              <w:rPr>
                <w:rFonts w:ascii="Times New Roman" w:hAnsi="Times New Roman" w:eastAsia="仿宋"/>
                <w:sz w:val="24"/>
                <w:szCs w:val="23"/>
              </w:rPr>
              <w:t>.5</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2</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广东链家房地产经纪有限公司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131.2</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3</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广州市置家房地产代理有限公司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118.5</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4</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广州仁隆房地产销售代理有限公司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117</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5</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广州明昇房地产销售代理有限公司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115.1</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6</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广州市乐有家房产经纪有限公司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113</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7</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广州兆庭房地产销售代理有限公司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109.8</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shd w:val="clear" w:color="auto" w:fill="FFFFFF"/>
            <w:vAlign w:val="center"/>
          </w:tcPr>
          <w:p>
            <w:pPr>
              <w:jc w:val="center"/>
              <w:rPr>
                <w:rFonts w:ascii="Times New Roman" w:hAnsi="Times New Roman" w:eastAsia="仿宋"/>
                <w:color w:val="000000" w:themeColor="text1"/>
                <w:sz w:val="24"/>
                <w:szCs w:val="23"/>
                <w14:textFill>
                  <w14:solidFill>
                    <w14:schemeClr w14:val="tx1"/>
                  </w14:solidFill>
                </w14:textFill>
              </w:rPr>
            </w:pPr>
            <w:r>
              <w:rPr>
                <w:rFonts w:ascii="Times New Roman" w:hAnsi="Times New Roman" w:eastAsia="仿宋"/>
                <w:color w:val="000000" w:themeColor="text1"/>
                <w:sz w:val="24"/>
                <w:szCs w:val="23"/>
                <w14:textFill>
                  <w14:solidFill>
                    <w14:schemeClr w14:val="tx1"/>
                  </w14:solidFill>
                </w14:textFill>
              </w:rPr>
              <w:t>8</w:t>
            </w:r>
          </w:p>
        </w:tc>
        <w:tc>
          <w:tcPr>
            <w:tcW w:w="4678"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广州方圆生活服务有限公司</w:t>
            </w:r>
          </w:p>
        </w:tc>
        <w:tc>
          <w:tcPr>
            <w:tcW w:w="241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99</w:t>
            </w:r>
          </w:p>
        </w:tc>
        <w:tc>
          <w:tcPr>
            <w:tcW w:w="1380" w:type="dxa"/>
            <w:shd w:val="clear" w:color="auto" w:fill="FFFFFF"/>
            <w:vAlign w:val="center"/>
          </w:tcPr>
          <w:p>
            <w:pPr>
              <w:jc w:val="center"/>
              <w:rPr>
                <w:rFonts w:ascii="Times New Roman" w:hAnsi="Times New Roman" w:eastAsia="仿宋"/>
                <w:sz w:val="24"/>
                <w:szCs w:val="23"/>
              </w:rPr>
            </w:pPr>
            <w:r>
              <w:rPr>
                <w:rFonts w:ascii="Times New Roman" w:hAnsi="Times New Roman" w:eastAsia="仿宋"/>
                <w:sz w:val="24"/>
                <w:szCs w:val="23"/>
              </w:rPr>
              <w:t>25</w:t>
            </w:r>
          </w:p>
        </w:tc>
      </w:tr>
    </w:tbl>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pStyle w:val="26"/>
        <w:ind w:firstLine="0"/>
        <w:jc w:val="center"/>
        <w:rPr>
          <w:rFonts w:hint="default"/>
          <w:b/>
          <w:color w:val="000000" w:themeColor="text1"/>
          <w14:textFill>
            <w14:solidFill>
              <w14:schemeClr w14:val="tx1"/>
            </w14:solidFill>
          </w14:textFill>
        </w:rPr>
      </w:pPr>
      <w:r>
        <w:rPr>
          <w:rFonts w:hint="default"/>
          <w:color w:val="000000" w:themeColor="text1"/>
          <w:sz w:val="21"/>
          <w14:textFill>
            <w14:solidFill>
              <w14:schemeClr w14:val="tx1"/>
            </w14:solidFill>
          </w14:textFill>
        </w:rPr>
        <w:t xml:space="preserve">表3 </w:t>
      </w:r>
      <w:r>
        <w:rPr>
          <w:color w:val="000000" w:themeColor="text1"/>
          <w:sz w:val="21"/>
          <w14:textFill>
            <w14:solidFill>
              <w14:schemeClr w14:val="tx1"/>
            </w14:solidFill>
          </w14:textFill>
        </w:rPr>
        <w:t xml:space="preserve"> </w:t>
      </w:r>
      <w:r>
        <w:rPr>
          <w:rFonts w:hint="default"/>
          <w:color w:val="000000" w:themeColor="text1"/>
          <w:sz w:val="21"/>
          <w14:textFill>
            <w14:solidFill>
              <w14:schemeClr w14:val="tx1"/>
            </w14:solidFill>
          </w14:textFill>
        </w:rPr>
        <w:t>2020-2022年广州市信用等级连续为良好及以上的中介机构名单（共3家）</w:t>
      </w:r>
    </w:p>
    <w:tbl>
      <w:tblPr>
        <w:tblStyle w:val="19"/>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881"/>
        <w:gridCol w:w="1186"/>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序号</w:t>
            </w:r>
          </w:p>
        </w:tc>
        <w:tc>
          <w:tcPr>
            <w:tcW w:w="3881"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中介机构名称</w:t>
            </w:r>
          </w:p>
        </w:tc>
        <w:tc>
          <w:tcPr>
            <w:tcW w:w="1186" w:type="dxa"/>
            <w:shd w:val="clear" w:color="auto" w:fill="FFFFFF"/>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2022年</w:t>
            </w:r>
          </w:p>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信用等级</w:t>
            </w:r>
          </w:p>
        </w:tc>
        <w:tc>
          <w:tcPr>
            <w:tcW w:w="1134" w:type="dxa"/>
            <w:shd w:val="clear" w:color="auto" w:fill="FFFFFF"/>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2021年</w:t>
            </w:r>
          </w:p>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信用等级</w:t>
            </w:r>
          </w:p>
        </w:tc>
        <w:tc>
          <w:tcPr>
            <w:tcW w:w="1134" w:type="dxa"/>
            <w:shd w:val="clear" w:color="auto" w:fill="FFFFFF"/>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2020年</w:t>
            </w:r>
          </w:p>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信用等级</w:t>
            </w:r>
          </w:p>
        </w:tc>
        <w:tc>
          <w:tcPr>
            <w:tcW w:w="1134" w:type="dxa"/>
            <w:shd w:val="clear" w:color="auto" w:fill="FFFFFF"/>
            <w:vAlign w:val="center"/>
          </w:tcPr>
          <w:p>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存续年限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shd w:val="clear" w:color="auto" w:fill="FFFFFF"/>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w:t>
            </w:r>
          </w:p>
        </w:tc>
        <w:tc>
          <w:tcPr>
            <w:tcW w:w="3881"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广州市德鸿行房地产代理有限公司</w:t>
            </w:r>
          </w:p>
        </w:tc>
        <w:tc>
          <w:tcPr>
            <w:tcW w:w="1186"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shd w:val="clear" w:color="auto" w:fill="FFFFFF"/>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w:t>
            </w:r>
          </w:p>
        </w:tc>
        <w:tc>
          <w:tcPr>
            <w:tcW w:w="3881"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广州市添房置业有限公司</w:t>
            </w:r>
          </w:p>
        </w:tc>
        <w:tc>
          <w:tcPr>
            <w:tcW w:w="1186"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shd w:val="clear" w:color="auto" w:fill="FFFFFF"/>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3</w:t>
            </w:r>
          </w:p>
        </w:tc>
        <w:tc>
          <w:tcPr>
            <w:tcW w:w="3881"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广州亿诚房地产咨询有限公司</w:t>
            </w:r>
          </w:p>
        </w:tc>
        <w:tc>
          <w:tcPr>
            <w:tcW w:w="1186"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shd w:val="clear" w:color="auto" w:fill="FFFFFF"/>
            <w:vAlign w:val="center"/>
          </w:tcPr>
          <w:p>
            <w:pPr>
              <w:jc w:val="center"/>
              <w:rPr>
                <w:rFonts w:ascii="Times New Roman" w:hAnsi="Times New Roman" w:eastAsia="仿宋"/>
                <w:sz w:val="24"/>
                <w:szCs w:val="24"/>
              </w:rPr>
            </w:pPr>
            <w:r>
              <w:rPr>
                <w:rFonts w:ascii="Times New Roman" w:hAnsi="Times New Roman" w:eastAsia="仿宋"/>
                <w:sz w:val="24"/>
                <w:szCs w:val="24"/>
              </w:rPr>
              <w:t>18</w:t>
            </w:r>
          </w:p>
        </w:tc>
      </w:tr>
    </w:tbl>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7" w:name="_Toc98168316"/>
      <w:bookmarkStart w:id="8" w:name="_Toc129785090"/>
      <w:r>
        <w:rPr>
          <w:rFonts w:ascii="Times New Roman" w:hAnsi="Times New Roman" w:eastAsia="黑体" w:cs="Times New Roman"/>
          <w:bCs w:val="0"/>
          <w:color w:val="000000" w:themeColor="text1"/>
          <w:sz w:val="28"/>
          <w:szCs w:val="28"/>
          <w14:textFill>
            <w14:solidFill>
              <w14:schemeClr w14:val="tx1"/>
            </w14:solidFill>
          </w14:textFill>
        </w:rPr>
        <w:t>（二）市中介协会会员单位情况</w:t>
      </w:r>
      <w:bookmarkEnd w:id="7"/>
      <w:bookmarkEnd w:id="8"/>
    </w:p>
    <w:p>
      <w:pPr>
        <w:spacing w:line="360" w:lineRule="auto"/>
        <w:ind w:firstLine="480" w:firstLineChars="200"/>
        <w:rPr>
          <w:rFonts w:ascii="Times New Roman" w:hAnsi="Times New Roman"/>
          <w:color w:val="FF0000"/>
          <w:sz w:val="24"/>
        </w:rPr>
      </w:pPr>
      <w:r>
        <w:rPr>
          <w:rFonts w:ascii="Times New Roman" w:hAnsi="Times New Roman"/>
          <w:color w:val="000000" w:themeColor="text1"/>
          <w:sz w:val="24"/>
          <w14:textFill>
            <w14:solidFill>
              <w14:schemeClr w14:val="tx1"/>
            </w14:solidFill>
          </w14:textFill>
        </w:rPr>
        <w:t>3233</w:t>
      </w:r>
      <w:r>
        <w:rPr>
          <w:rFonts w:hint="eastAsia" w:ascii="Times New Roman" w:hAnsi="Times New Roman"/>
          <w:color w:val="000000" w:themeColor="text1"/>
          <w:sz w:val="24"/>
          <w14:textFill>
            <w14:solidFill>
              <w14:schemeClr w14:val="tx1"/>
            </w14:solidFill>
          </w14:textFill>
        </w:rPr>
        <w:t>家中介机构中，市中介协会会员单位数量为1031家，所占比例为31.89</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，非市中介协会会员单位数量为</w:t>
      </w:r>
      <w:r>
        <w:rPr>
          <w:rFonts w:ascii="Times New Roman" w:hAnsi="Times New Roman"/>
          <w:color w:val="000000" w:themeColor="text1"/>
          <w:sz w:val="24"/>
          <w14:textFill>
            <w14:solidFill>
              <w14:schemeClr w14:val="tx1"/>
            </w14:solidFill>
          </w14:textFill>
        </w:rPr>
        <w:t>2</w:t>
      </w:r>
      <w:r>
        <w:rPr>
          <w:rFonts w:hint="eastAsia" w:ascii="Times New Roman" w:hAnsi="Times New Roman"/>
          <w:color w:val="000000" w:themeColor="text1"/>
          <w:sz w:val="24"/>
          <w14:textFill>
            <w14:solidFill>
              <w14:schemeClr w14:val="tx1"/>
            </w14:solidFill>
          </w14:textFill>
        </w:rPr>
        <w:t>202家，所占比例为68.11</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在</w:t>
      </w:r>
      <w:r>
        <w:rPr>
          <w:rFonts w:hint="eastAsia" w:ascii="Times New Roman" w:hAnsi="Times New Roman"/>
          <w:color w:val="000000" w:themeColor="text1"/>
          <w:sz w:val="24"/>
          <w14:textFill>
            <w14:solidFill>
              <w14:schemeClr w14:val="tx1"/>
            </w14:solidFill>
          </w14:textFill>
        </w:rPr>
        <w:t>1031</w:t>
      </w:r>
      <w:r>
        <w:rPr>
          <w:rFonts w:ascii="Times New Roman" w:hAnsi="Times New Roman"/>
          <w:color w:val="000000" w:themeColor="text1"/>
          <w:sz w:val="24"/>
          <w14:textFill>
            <w14:solidFill>
              <w14:schemeClr w14:val="tx1"/>
            </w14:solidFill>
          </w14:textFill>
        </w:rPr>
        <w:t>家市中介协会会员单位中，信用等级为“优质”的中介机构有1</w:t>
      </w:r>
      <w:r>
        <w:rPr>
          <w:rFonts w:hint="eastAsia" w:ascii="Times New Roman" w:hAnsi="Times New Roman"/>
          <w:color w:val="000000" w:themeColor="text1"/>
          <w:sz w:val="24"/>
          <w14:textFill>
            <w14:solidFill>
              <w14:schemeClr w14:val="tx1"/>
            </w14:solidFill>
          </w14:textFill>
        </w:rPr>
        <w:t>8</w:t>
      </w:r>
      <w:r>
        <w:rPr>
          <w:rFonts w:ascii="Times New Roman" w:hAnsi="Times New Roman"/>
          <w:color w:val="000000" w:themeColor="text1"/>
          <w:sz w:val="24"/>
          <w14:textFill>
            <w14:solidFill>
              <w14:schemeClr w14:val="tx1"/>
            </w14:solidFill>
          </w14:textFill>
        </w:rPr>
        <w:t>家，占全部“优质”等级的94.</w:t>
      </w:r>
      <w:r>
        <w:rPr>
          <w:rFonts w:hint="eastAsia" w:ascii="Times New Roman" w:hAnsi="Times New Roman"/>
          <w:color w:val="000000" w:themeColor="text1"/>
          <w:sz w:val="24"/>
          <w14:textFill>
            <w14:solidFill>
              <w14:schemeClr w14:val="tx1"/>
            </w14:solidFill>
          </w14:textFill>
        </w:rPr>
        <w:t>74</w:t>
      </w:r>
      <w:r>
        <w:rPr>
          <w:rFonts w:ascii="Times New Roman" w:hAnsi="Times New Roman"/>
          <w:color w:val="000000" w:themeColor="text1"/>
          <w:sz w:val="24"/>
          <w14:textFill>
            <w14:solidFill>
              <w14:schemeClr w14:val="tx1"/>
            </w14:solidFill>
          </w14:textFill>
        </w:rPr>
        <w:t>%，1</w:t>
      </w:r>
      <w:r>
        <w:rPr>
          <w:rFonts w:hint="eastAsia" w:ascii="Times New Roman" w:hAnsi="Times New Roman"/>
          <w:color w:val="000000" w:themeColor="text1"/>
          <w:sz w:val="24"/>
          <w14:textFill>
            <w14:solidFill>
              <w14:schemeClr w14:val="tx1"/>
            </w14:solidFill>
          </w14:textFill>
        </w:rPr>
        <w:t>4</w:t>
      </w:r>
      <w:r>
        <w:rPr>
          <w:rFonts w:ascii="Times New Roman" w:hAnsi="Times New Roman"/>
          <w:color w:val="000000" w:themeColor="text1"/>
          <w:sz w:val="24"/>
          <w14:textFill>
            <w14:solidFill>
              <w14:schemeClr w14:val="tx1"/>
            </w14:solidFill>
          </w14:textFill>
        </w:rPr>
        <w:t>家信用等级为“良好”的有1</w:t>
      </w:r>
      <w:r>
        <w:rPr>
          <w:rFonts w:hint="eastAsia" w:ascii="Times New Roman" w:hAnsi="Times New Roman"/>
          <w:color w:val="000000" w:themeColor="text1"/>
          <w:sz w:val="24"/>
          <w14:textFill>
            <w14:solidFill>
              <w14:schemeClr w14:val="tx1"/>
            </w14:solidFill>
          </w14:textFill>
        </w:rPr>
        <w:t>3</w:t>
      </w:r>
      <w:r>
        <w:rPr>
          <w:rFonts w:ascii="Times New Roman" w:hAnsi="Times New Roman"/>
          <w:color w:val="000000" w:themeColor="text1"/>
          <w:sz w:val="24"/>
          <w14:textFill>
            <w14:solidFill>
              <w14:schemeClr w14:val="tx1"/>
            </w14:solidFill>
          </w14:textFill>
        </w:rPr>
        <w:t>家是市中介协会会员单位。</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在</w:t>
      </w:r>
      <w:r>
        <w:rPr>
          <w:rFonts w:ascii="Times New Roman" w:hAnsi="Times New Roman"/>
          <w:color w:val="000000" w:themeColor="text1"/>
          <w:sz w:val="24"/>
          <w14:textFill>
            <w14:solidFill>
              <w14:schemeClr w14:val="tx1"/>
            </w14:solidFill>
          </w14:textFill>
        </w:rPr>
        <w:t>2</w:t>
      </w:r>
      <w:r>
        <w:rPr>
          <w:rFonts w:hint="eastAsia" w:ascii="Times New Roman" w:hAnsi="Times New Roman"/>
          <w:color w:val="000000" w:themeColor="text1"/>
          <w:sz w:val="24"/>
          <w14:textFill>
            <w14:solidFill>
              <w14:schemeClr w14:val="tx1"/>
            </w14:solidFill>
          </w14:textFill>
        </w:rPr>
        <w:t>202家</w:t>
      </w:r>
      <w:r>
        <w:rPr>
          <w:rFonts w:ascii="Times New Roman" w:hAnsi="Times New Roman"/>
          <w:color w:val="000000" w:themeColor="text1"/>
          <w:sz w:val="24"/>
          <w14:textFill>
            <w14:solidFill>
              <w14:schemeClr w14:val="tx1"/>
            </w14:solidFill>
          </w14:textFill>
        </w:rPr>
        <w:t>非市中介协会会员单位中，信用等级为“诚信”及“暂定诚信”的占绝大部分，合计占比</w:t>
      </w:r>
      <w:r>
        <w:rPr>
          <w:rFonts w:hint="eastAsia" w:ascii="Times New Roman" w:hAnsi="Times New Roman"/>
          <w:color w:val="000000" w:themeColor="text1"/>
          <w:sz w:val="24"/>
          <w14:textFill>
            <w14:solidFill>
              <w14:schemeClr w14:val="tx1"/>
            </w14:solidFill>
          </w14:textFill>
        </w:rPr>
        <w:t>为</w:t>
      </w:r>
      <w:r>
        <w:rPr>
          <w:rFonts w:ascii="Times New Roman" w:hAnsi="Times New Roman"/>
          <w:color w:val="000000" w:themeColor="text1"/>
          <w:sz w:val="24"/>
          <w14:textFill>
            <w14:solidFill>
              <w14:schemeClr w14:val="tx1"/>
            </w14:solidFill>
          </w14:textFill>
        </w:rPr>
        <w:t>99.8</w:t>
      </w:r>
      <w:r>
        <w:rPr>
          <w:rFonts w:hint="eastAsia" w:ascii="Times New Roman" w:hAnsi="Times New Roman"/>
          <w:color w:val="000000" w:themeColor="text1"/>
          <w:sz w:val="24"/>
          <w14:textFill>
            <w14:solidFill>
              <w14:schemeClr w14:val="tx1"/>
            </w14:solidFill>
          </w14:textFill>
        </w:rPr>
        <w:t>2</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w:t>
      </w:r>
    </w:p>
    <w:p>
      <w:pPr>
        <w:spacing w:line="360" w:lineRule="auto"/>
        <w:rPr>
          <w:rFonts w:ascii="Times New Roman" w:hAnsi="Times New Roman"/>
          <w:color w:val="FF0000"/>
          <w:sz w:val="24"/>
        </w:rPr>
      </w:pPr>
      <w:r>
        <w:rPr>
          <w:rFonts w:ascii="Times New Roman" w:hAnsi="Times New Roman"/>
          <w:color w:val="FF0000"/>
          <w:sz w:val="24"/>
        </w:rPr>
        <w:drawing>
          <wp:inline distT="0" distB="0" distL="0" distR="0">
            <wp:extent cx="2804795" cy="2321560"/>
            <wp:effectExtent l="0" t="0" r="0" b="2540"/>
            <wp:docPr id="36" name="图片 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true" noChangeArrowheads="true"/>
                    </pic:cNvPicPr>
                  </pic:nvPicPr>
                  <pic:blipFill>
                    <a:blip r:embed="rId13">
                      <a:extLst>
                        <a:ext uri="{28A0092B-C50C-407E-A947-70E740481C1C}">
                          <a14:useLocalDpi xmlns:a14="http://schemas.microsoft.com/office/drawing/2010/main" val="false"/>
                        </a:ext>
                      </a:extLst>
                    </a:blip>
                    <a:srcRect/>
                    <a:stretch>
                      <a:fillRect/>
                    </a:stretch>
                  </pic:blipFill>
                  <pic:spPr>
                    <a:xfrm>
                      <a:off x="0" y="0"/>
                      <a:ext cx="2804262" cy="2321710"/>
                    </a:xfrm>
                    <a:prstGeom prst="rect">
                      <a:avLst/>
                    </a:prstGeom>
                    <a:noFill/>
                  </pic:spPr>
                </pic:pic>
              </a:graphicData>
            </a:graphic>
          </wp:inline>
        </w:drawing>
      </w:r>
      <w:r>
        <w:rPr>
          <w:rFonts w:ascii="Times New Roman" w:hAnsi="Times New Roman"/>
          <w:color w:val="FF0000"/>
          <w:sz w:val="24"/>
        </w:rPr>
        <w:drawing>
          <wp:inline distT="0" distB="0" distL="0" distR="0">
            <wp:extent cx="2830195" cy="2318385"/>
            <wp:effectExtent l="0" t="0" r="8255" b="5715"/>
            <wp:docPr id="11"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true" noChangeArrowheads="true"/>
                    </pic:cNvPicPr>
                  </pic:nvPicPr>
                  <pic:blipFill>
                    <a:blip r:embed="rId14">
                      <a:extLst>
                        <a:ext uri="{28A0092B-C50C-407E-A947-70E740481C1C}">
                          <a14:useLocalDpi xmlns:a14="http://schemas.microsoft.com/office/drawing/2010/main" val="false"/>
                        </a:ext>
                      </a:extLst>
                    </a:blip>
                    <a:srcRect/>
                    <a:stretch>
                      <a:fillRect/>
                    </a:stretch>
                  </pic:blipFill>
                  <pic:spPr>
                    <a:xfrm>
                      <a:off x="0" y="0"/>
                      <a:ext cx="2830055" cy="2318344"/>
                    </a:xfrm>
                    <a:prstGeom prst="rect">
                      <a:avLst/>
                    </a:prstGeom>
                    <a:noFill/>
                  </pic:spPr>
                </pic:pic>
              </a:graphicData>
            </a:graphic>
          </wp:inline>
        </w:drawing>
      </w:r>
    </w:p>
    <w:p>
      <w:pPr>
        <w:jc w:val="center"/>
        <w:rPr>
          <w:rFonts w:ascii="Times New Roman" w:hAnsi="Times New Roman"/>
          <w:color w:val="FF0000"/>
        </w:rPr>
      </w:pPr>
      <w:r>
        <w:rPr>
          <w:rFonts w:ascii="Times New Roman" w:hAnsi="Times New Roman"/>
          <w:color w:val="FF0000"/>
        </w:rPr>
        <w:drawing>
          <wp:inline distT="0" distB="0" distL="0" distR="0">
            <wp:extent cx="3121660" cy="262255"/>
            <wp:effectExtent l="0" t="0" r="2540" b="4445"/>
            <wp:docPr id="42"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true"/>
                    </pic:cNvPicPr>
                  </pic:nvPicPr>
                  <pic:blipFill>
                    <a:blip r:embed="rId15"/>
                    <a:stretch>
                      <a:fillRect/>
                    </a:stretch>
                  </pic:blipFill>
                  <pic:spPr>
                    <a:xfrm>
                      <a:off x="0" y="0"/>
                      <a:ext cx="3127086" cy="263124"/>
                    </a:xfrm>
                    <a:prstGeom prst="rect">
                      <a:avLst/>
                    </a:prstGeom>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图4  市中介协会会员单位（左）与非会员单位（右）信用等级结构</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pStyle w:val="2"/>
        <w:pageBreakBefore/>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9" w:name="_Toc129785091"/>
      <w:bookmarkStart w:id="10" w:name="_Toc98168317"/>
      <w:r>
        <w:rPr>
          <w:rFonts w:ascii="Times New Roman" w:hAnsi="Times New Roman" w:eastAsia="黑体"/>
          <w:bCs w:val="0"/>
          <w:color w:val="000000" w:themeColor="text1"/>
          <w:sz w:val="32"/>
          <w:szCs w:val="24"/>
          <w14:textFill>
            <w14:solidFill>
              <w14:schemeClr w14:val="tx1"/>
            </w14:solidFill>
          </w14:textFill>
        </w:rPr>
        <w:t>四、中介服务品牌信用状况</w:t>
      </w:r>
      <w:bookmarkEnd w:id="9"/>
      <w:bookmarkEnd w:id="10"/>
    </w:p>
    <w:p>
      <w:pPr>
        <w:pStyle w:val="26"/>
        <w:spacing w:line="360" w:lineRule="auto"/>
        <w:jc w:val="both"/>
        <w:rPr>
          <w:rFonts w:hint="default"/>
        </w:rPr>
      </w:pPr>
      <w:r>
        <w:rPr>
          <w:rFonts w:hint="default"/>
          <w:color w:val="000000" w:themeColor="text1"/>
          <w14:textFill>
            <w14:solidFill>
              <w14:schemeClr w14:val="tx1"/>
            </w14:solidFill>
          </w14:textFill>
        </w:rPr>
        <w:t>自2018年以来，我市房地产中介服务行业发展迅速，行业业态发生较大变化，市场中出现了越来越多的加盟类中介机构。为方便广大消费者更好地了解我市房地产中介服务品牌信用状况，市中介协会在2020年1月发布实施《广州市房地产中介服务品牌信用评分评级规则》，主要从评分规则、评级规则、品牌信息、信息公示以及规则的执行和修订等方面对中介服务品牌信用评分评级工作进行了规定</w:t>
      </w:r>
      <w:r>
        <w:rPr>
          <w:rFonts w:hint="default"/>
        </w:rPr>
        <w:t>。</w:t>
      </w:r>
    </w:p>
    <w:p>
      <w:pPr>
        <w:pStyle w:val="26"/>
        <w:spacing w:line="360" w:lineRule="auto"/>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根据经营模式的不同，中介服务品牌主要分为以下几类：</w:t>
      </w:r>
    </w:p>
    <w:p>
      <w:pPr>
        <w:pStyle w:val="26"/>
        <w:spacing w:line="360" w:lineRule="auto"/>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（一）直营类机构：是指一家中介机构的所有门店都是由该公司直接投资</w:t>
      </w:r>
      <w:r>
        <w:rPr>
          <w:color w:val="000000" w:themeColor="text1"/>
          <w14:textFill>
            <w14:solidFill>
              <w14:schemeClr w14:val="tx1"/>
            </w14:solidFill>
          </w14:textFill>
        </w:rPr>
        <w:t>（或控股）</w:t>
      </w:r>
      <w:r>
        <w:rPr>
          <w:rFonts w:hint="default"/>
          <w:color w:val="000000" w:themeColor="text1"/>
          <w14:textFill>
            <w14:solidFill>
              <w14:schemeClr w14:val="tx1"/>
            </w14:solidFill>
          </w14:textFill>
        </w:rPr>
        <w:t>及经营管理，通常这类企业会使用统一的客户服务投诉热线。这类品牌企业主要有：合富置业、链家、中原地产、乐有家、裕丰地产、保利爱家、朴邻、远见地产、德诚行地产、共和地产等。（该类品牌的信用评分及等级是直接取其企业信用评分及等级。）</w:t>
      </w:r>
    </w:p>
    <w:p>
      <w:pPr>
        <w:pStyle w:val="26"/>
        <w:spacing w:line="360" w:lineRule="auto"/>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其中，有部分直营类中介机构（主要有裕丰地产、德诚行地产等）采取了多家经营主体（即不同名称的企业法人）使用统一的品牌名称、LOGO对外经营的模式。（该类品牌的信用评分是将其下辖所有经营主体的信用评分进行综合计算，根据综合信用评分确定该品牌的信用等级。）</w:t>
      </w:r>
    </w:p>
    <w:p>
      <w:pPr>
        <w:pStyle w:val="26"/>
        <w:spacing w:line="360" w:lineRule="auto"/>
        <w:ind w:firstLine="480" w:firstLineChars="200"/>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二）加盟类机构：是指中介机构（含其门店）经第三方商业机构授权，统一使用该第三方商业机构的服务标识（含品牌名称、LOGO等）对外经营，通常的体现方式是统一门店招牌，其目的是利用该第三方商业机构的形象、品牌、声誉等吸引消费者（这也是许多消费者经常发现有些中介机构的工商营业执照上所记载的公司名称与其门店招牌不一致的原因）。这类中介服务品牌主要有：德佑、住天下、住商不动产、糯家、看房网、21世纪不动产等。（该类品牌的信用评分是将其下辖所有经营主体的信用评分进行综合计算，根据综合信用评分确定该品牌的信用等级。）</w:t>
      </w:r>
    </w:p>
    <w:p>
      <w:pPr>
        <w:pStyle w:val="26"/>
        <w:spacing w:line="360" w:lineRule="auto"/>
        <w:ind w:firstLine="480" w:firstLineChars="200"/>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（三）直营与加盟相结合：是指中介机构采取了直营与加盟相结合的经营模式，即部分门店为直营，部分门店为加盟。这类中介服务品牌主要有：房六六、祈安地产、添房置业、置家地产、珍房源、优居</w:t>
      </w:r>
      <w:r>
        <w:rPr>
          <w:color w:val="000000" w:themeColor="text1"/>
          <w14:textFill>
            <w14:solidFill>
              <w14:schemeClr w14:val="tx1"/>
            </w14:solidFill>
          </w14:textFill>
        </w:rPr>
        <w:t>优住</w:t>
      </w:r>
      <w:r>
        <w:rPr>
          <w:rFonts w:hint="default"/>
          <w:color w:val="000000" w:themeColor="text1"/>
          <w14:textFill>
            <w14:solidFill>
              <w14:schemeClr w14:val="tx1"/>
            </w14:solidFill>
          </w14:textFill>
        </w:rPr>
        <w:t>等。（该类品牌的信用评分是将其下辖所有经营主体的信用评分进行综合计算，根据综合信用评分确定该品牌的信用等级。）</w:t>
      </w:r>
    </w:p>
    <w:p>
      <w:pPr>
        <w:pStyle w:val="26"/>
        <w:spacing w:line="360" w:lineRule="auto"/>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消费者在选择中介机构时，可以主动查看该中介机构的门店是否已办理《广州市房地产中介服务机构备案证书》，并通过扫描《备案证书》上的二维码等方式查阅机构的信用档案，了解该中介机构（门店）是否为加盟类企业。</w:t>
      </w:r>
    </w:p>
    <w:p>
      <w:pPr>
        <w:pStyle w:val="26"/>
        <w:spacing w:line="360" w:lineRule="auto"/>
        <w:ind w:firstLine="480"/>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数据显示，2022年全市2</w:t>
      </w:r>
      <w:r>
        <w:rPr>
          <w:color w:val="000000" w:themeColor="text1"/>
          <w14:textFill>
            <w14:solidFill>
              <w14:schemeClr w14:val="tx1"/>
            </w14:solidFill>
          </w14:textFill>
        </w:rPr>
        <w:t>2</w:t>
      </w:r>
      <w:r>
        <w:rPr>
          <w:rFonts w:hint="default"/>
          <w:color w:val="000000" w:themeColor="text1"/>
          <w14:textFill>
            <w14:solidFill>
              <w14:schemeClr w14:val="tx1"/>
            </w14:solidFill>
          </w14:textFill>
        </w:rPr>
        <w:t>家门店数量较多的房地产中介服务品牌中，信用等级为“优质”的有7家，除房六六外，其余均为直营机构，包括合富置业、链家、中原地产、乐有家、裕丰地产、德诚行地产等；保利爱家信用等级为“良好”；另有1</w:t>
      </w:r>
      <w:r>
        <w:rPr>
          <w:color w:val="000000" w:themeColor="text1"/>
          <w14:textFill>
            <w14:solidFill>
              <w14:schemeClr w14:val="tx1"/>
            </w14:solidFill>
          </w14:textFill>
        </w:rPr>
        <w:t>4</w:t>
      </w:r>
      <w:r>
        <w:rPr>
          <w:rFonts w:hint="default"/>
          <w:color w:val="000000" w:themeColor="text1"/>
          <w14:textFill>
            <w14:solidFill>
              <w14:schemeClr w14:val="tx1"/>
            </w14:solidFill>
          </w14:textFill>
        </w:rPr>
        <w:t>家信用等级为“诚信”，包括朴邻、远见地产</w:t>
      </w:r>
      <w:r>
        <w:rPr>
          <w:color w:val="000000" w:themeColor="text1"/>
          <w14:textFill>
            <w14:solidFill>
              <w14:schemeClr w14:val="tx1"/>
            </w14:solidFill>
          </w14:textFill>
        </w:rPr>
        <w:t>、</w:t>
      </w:r>
      <w:r>
        <w:rPr>
          <w:rFonts w:hint="default"/>
          <w:color w:val="000000" w:themeColor="text1"/>
          <w14:textFill>
            <w14:solidFill>
              <w14:schemeClr w14:val="tx1"/>
            </w14:solidFill>
          </w14:textFill>
        </w:rPr>
        <w:t>祈安地产</w:t>
      </w:r>
      <w:r>
        <w:rPr>
          <w:color w:val="000000" w:themeColor="text1"/>
          <w14:textFill>
            <w14:solidFill>
              <w14:schemeClr w14:val="tx1"/>
            </w14:solidFill>
          </w14:textFill>
        </w:rPr>
        <w:t>、</w:t>
      </w:r>
      <w:r>
        <w:rPr>
          <w:rFonts w:hint="default"/>
          <w:color w:val="000000" w:themeColor="text1"/>
          <w14:textFill>
            <w14:solidFill>
              <w14:schemeClr w14:val="tx1"/>
            </w14:solidFill>
          </w14:textFill>
        </w:rPr>
        <w:t>添房置业等。</w:t>
      </w:r>
    </w:p>
    <w:p>
      <w:pPr>
        <w:pStyle w:val="26"/>
        <w:spacing w:line="360" w:lineRule="auto"/>
        <w:ind w:firstLine="480"/>
        <w:jc w:val="both"/>
        <w:rPr>
          <w:rFonts w:hint="default"/>
          <w:color w:val="000000" w:themeColor="text1"/>
          <w14:textFill>
            <w14:solidFill>
              <w14:schemeClr w14:val="tx1"/>
            </w14:solidFill>
          </w14:textFill>
        </w:rPr>
      </w:pP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表4  2022年广州市主要房地产中介服务品牌信用评分评级情况</w:t>
      </w:r>
    </w:p>
    <w:tbl>
      <w:tblPr>
        <w:tblStyle w:val="20"/>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829"/>
        <w:gridCol w:w="850"/>
        <w:gridCol w:w="991"/>
        <w:gridCol w:w="710"/>
        <w:gridCol w:w="850"/>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67"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序号</w:t>
            </w:r>
          </w:p>
        </w:tc>
        <w:tc>
          <w:tcPr>
            <w:tcW w:w="3829"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中介服务品牌LOGO及品牌所属公司</w:t>
            </w:r>
          </w:p>
        </w:tc>
        <w:tc>
          <w:tcPr>
            <w:tcW w:w="850"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覆盖备案门店数量</w:t>
            </w:r>
          </w:p>
        </w:tc>
        <w:tc>
          <w:tcPr>
            <w:tcW w:w="991"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信用</w:t>
            </w:r>
          </w:p>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评分</w:t>
            </w:r>
          </w:p>
        </w:tc>
        <w:tc>
          <w:tcPr>
            <w:tcW w:w="710"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信用</w:t>
            </w:r>
          </w:p>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等级</w:t>
            </w:r>
          </w:p>
        </w:tc>
        <w:tc>
          <w:tcPr>
            <w:tcW w:w="850"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存续</w:t>
            </w:r>
          </w:p>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年限</w:t>
            </w:r>
          </w:p>
        </w:tc>
        <w:tc>
          <w:tcPr>
            <w:tcW w:w="1702" w:type="dxa"/>
            <w:vAlign w:val="center"/>
          </w:tcPr>
          <w:p>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统一客服电话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896620" cy="723900"/>
                  <wp:effectExtent l="0" t="0" r="0" b="0"/>
                  <wp:docPr id="285"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5" name="图片 8"/>
                          <pic:cNvPicPr>
                            <a:picLocks noChangeAspect="true"/>
                          </pic:cNvPicPr>
                        </pic:nvPicPr>
                        <pic:blipFill>
                          <a:blip r:embed="rId16" cstate="print"/>
                          <a:stretch>
                            <a:fillRect/>
                          </a:stretch>
                        </pic:blipFill>
                        <pic:spPr>
                          <a:xfrm>
                            <a:off x="0" y="0"/>
                            <a:ext cx="902849" cy="728627"/>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广东合富房地产置业有限公司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 w:val="2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161</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13</w:t>
            </w:r>
            <w:r>
              <w:rPr>
                <w:rFonts w:hint="eastAsia" w:ascii="Times New Roman" w:hAnsi="Times New Roman" w:eastAsia="仿宋"/>
                <w:color w:val="000000"/>
                <w:sz w:val="24"/>
                <w:szCs w:val="24"/>
              </w:rPr>
              <w:t>1</w:t>
            </w:r>
            <w:r>
              <w:rPr>
                <w:rFonts w:ascii="Times New Roman" w:hAnsi="Times New Roman" w:eastAsia="仿宋"/>
                <w:color w:val="000000"/>
                <w:sz w:val="24"/>
                <w:szCs w:val="24"/>
              </w:rPr>
              <w:t xml:space="preserve">.50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23年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020-38881175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2</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934085" cy="660400"/>
                  <wp:effectExtent l="0" t="0" r="0" b="6350"/>
                  <wp:docPr id="288"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8" name="图片 20"/>
                          <pic:cNvPicPr>
                            <a:picLocks noChangeAspect="true"/>
                          </pic:cNvPicPr>
                        </pic:nvPicPr>
                        <pic:blipFill>
                          <a:blip r:embed="rId17" cstate="print"/>
                          <a:stretch>
                            <a:fillRect/>
                          </a:stretch>
                        </pic:blipFill>
                        <pic:spPr>
                          <a:xfrm>
                            <a:off x="0" y="0"/>
                            <a:ext cx="940757" cy="665208"/>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广东链家房地产经纪有限公司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 w:val="2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287</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131.2</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22年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10109666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3</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564640" cy="600710"/>
                  <wp:effectExtent l="0" t="0" r="0" b="8890"/>
                  <wp:docPr id="289"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9" name="图片 5"/>
                          <pic:cNvPicPr>
                            <a:picLocks noChangeAspect="true"/>
                          </pic:cNvPicPr>
                        </pic:nvPicPr>
                        <pic:blipFill>
                          <a:blip r:embed="rId18" cstate="print"/>
                          <a:stretch>
                            <a:fillRect/>
                          </a:stretch>
                        </pic:blipFill>
                        <pic:spPr>
                          <a:xfrm>
                            <a:off x="0" y="0"/>
                            <a:ext cx="1583803" cy="608525"/>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广东中原地产代理有限公司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 w:val="2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80</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118.80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18年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020-83486299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4</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324610" cy="666115"/>
                  <wp:effectExtent l="0" t="0" r="8890" b="635"/>
                  <wp:docPr id="290"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0" name="图片 16"/>
                          <pic:cNvPicPr>
                            <a:picLocks noChangeAspect="true"/>
                          </pic:cNvPicPr>
                        </pic:nvPicPr>
                        <pic:blipFill>
                          <a:blip r:embed="rId19" cstate="print"/>
                          <a:stretch>
                            <a:fillRect/>
                          </a:stretch>
                        </pic:blipFill>
                        <pic:spPr>
                          <a:xfrm>
                            <a:off x="0" y="0"/>
                            <a:ext cx="1332511" cy="670389"/>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广州市乐有家房产经纪有限公司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216</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113.00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7年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400-886-9200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5</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114300" distR="114300">
                  <wp:extent cx="1061085" cy="615950"/>
                  <wp:effectExtent l="0" t="0" r="5715" b="0"/>
                  <wp:docPr id="293" name="图片 13" descr="裕丰地产"/>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3" name="图片 13" descr="裕丰地产"/>
                          <pic:cNvPicPr>
                            <a:picLocks noChangeAspect="true"/>
                          </pic:cNvPicPr>
                        </pic:nvPicPr>
                        <pic:blipFill>
                          <a:blip r:embed="rId20"/>
                          <a:stretch>
                            <a:fillRect/>
                          </a:stretch>
                        </pic:blipFill>
                        <pic:spPr>
                          <a:xfrm>
                            <a:off x="0" y="0"/>
                            <a:ext cx="1062454" cy="616908"/>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广州裕隆房地产销售代理有限公司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470</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105.1</w:t>
            </w:r>
            <w:r>
              <w:rPr>
                <w:rFonts w:hint="eastAsia" w:ascii="Times New Roman" w:hAnsi="Times New Roman" w:eastAsia="仿宋"/>
                <w:color w:val="000000"/>
                <w:sz w:val="24"/>
                <w:szCs w:val="24"/>
              </w:rPr>
              <w:t>5</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28年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400-830-0848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6</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drawing>
                <wp:inline distT="0" distB="0" distL="0" distR="0">
                  <wp:extent cx="1637665" cy="414655"/>
                  <wp:effectExtent l="0" t="0" r="635" b="4445"/>
                  <wp:docPr id="40" name="图片 4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true"/>
                          </pic:cNvPicPr>
                        </pic:nvPicPr>
                        <pic:blipFill>
                          <a:blip r:embed="rId21"/>
                          <a:stretch>
                            <a:fillRect/>
                          </a:stretch>
                        </pic:blipFill>
                        <pic:spPr>
                          <a:xfrm>
                            <a:off x="0" y="0"/>
                            <a:ext cx="1637970" cy="415180"/>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房六六置业（广州）有限公司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32</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95.60</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400-677-2577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7</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336040" cy="387350"/>
                  <wp:effectExtent l="0" t="0" r="0" b="0"/>
                  <wp:docPr id="296"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6" name="图片 21"/>
                          <pic:cNvPicPr>
                            <a:picLocks noChangeAspect="true"/>
                          </pic:cNvPicPr>
                        </pic:nvPicPr>
                        <pic:blipFill>
                          <a:blip r:embed="rId22" cstate="print">
                            <a:extLst>
                              <a:ext uri="{28A0092B-C50C-407E-A947-70E740481C1C}">
                                <a14:useLocalDpi xmlns:a14="http://schemas.microsoft.com/office/drawing/2010/main" val="false"/>
                              </a:ext>
                            </a:extLst>
                          </a:blip>
                          <a:srcRect l="9373" r="7012"/>
                          <a:stretch>
                            <a:fillRect/>
                          </a:stretch>
                        </pic:blipFill>
                        <pic:spPr>
                          <a:xfrm>
                            <a:off x="0" y="0"/>
                            <a:ext cx="1366497" cy="396374"/>
                          </a:xfrm>
                          <a:prstGeom prst="rect">
                            <a:avLst/>
                          </a:prstGeom>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广东德诚行地产集团有限公司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82</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95.25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27年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400-626-8300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8</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2307590" cy="408305"/>
                  <wp:effectExtent l="19050" t="0" r="0" b="0"/>
                  <wp:docPr id="12" name="图片 1" descr="C:\Users\lenovo\AppData\Local\Temp\WeChat Files\ced52bbffe5a4d70a58b86c7dacf057c_.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 descr="C:\Users\lenovo\AppData\Local\Temp\WeChat Files\ced52bbffe5a4d70a58b86c7dacf057c_.png"/>
                          <pic:cNvPicPr>
                            <a:picLocks noChangeAspect="true" noChangeArrowheads="true"/>
                          </pic:cNvPicPr>
                        </pic:nvPicPr>
                        <pic:blipFill>
                          <a:blip r:embed="rId23"/>
                          <a:srcRect/>
                          <a:stretch>
                            <a:fillRect/>
                          </a:stretch>
                        </pic:blipFill>
                        <pic:spPr>
                          <a:xfrm>
                            <a:off x="0" y="0"/>
                            <a:ext cx="2349596" cy="415662"/>
                          </a:xfrm>
                          <a:prstGeom prst="rect">
                            <a:avLst/>
                          </a:prstGeom>
                          <a:noFill/>
                          <a:ln w="9525">
                            <a:noFill/>
                            <a:miter lim="800000"/>
                            <a:headEnd/>
                            <a:tailEnd/>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广州保利爱家房地产经纪有限公司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11</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96.20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020-32256961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9</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857250" cy="857250"/>
                  <wp:effectExtent l="0" t="0" r="0" b="0"/>
                  <wp:docPr id="294" name="图片 15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4" name="图片 150"/>
                          <pic:cNvPicPr>
                            <a:picLocks noChangeAspect="true" noChangeArrowheads="true"/>
                          </pic:cNvPicPr>
                        </pic:nvPicPr>
                        <pic:blipFill>
                          <a:blip r:embed="rId24" cstate="print">
                            <a:extLst>
                              <a:ext uri="{28A0092B-C50C-407E-A947-70E740481C1C}">
                                <a14:useLocalDpi xmlns:a14="http://schemas.microsoft.com/office/drawing/2010/main" val="false"/>
                              </a:ext>
                            </a:extLst>
                          </a:blip>
                          <a:srcRect/>
                          <a:stretch>
                            <a:fillRect/>
                          </a:stretch>
                        </pic:blipFill>
                        <pic:spPr>
                          <a:xfrm>
                            <a:off x="0" y="0"/>
                            <a:ext cx="857250" cy="857250"/>
                          </a:xfrm>
                          <a:prstGeom prst="rect">
                            <a:avLst/>
                          </a:prstGeom>
                          <a:noFill/>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广州市朴邻房产经纪有限公司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19</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101.50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6年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400-951-5151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hint="eastAsia" w:ascii="Times New Roman" w:hAnsi="Times New Roman" w:eastAsia="仿宋"/>
                <w:color w:val="000000" w:themeColor="text1"/>
                <w:sz w:val="22"/>
                <w14:textFill>
                  <w14:solidFill>
                    <w14:schemeClr w14:val="tx1"/>
                  </w14:solidFill>
                </w14:textFill>
              </w:rPr>
              <w:t>10</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076325" cy="904240"/>
                  <wp:effectExtent l="0" t="0" r="0" b="0"/>
                  <wp:docPr id="14" name="图片 1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9"/>
                          <pic:cNvPicPr>
                            <a:picLocks noChangeAspect="true"/>
                          </pic:cNvPicPr>
                        </pic:nvPicPr>
                        <pic:blipFill>
                          <a:blip r:embed="rId25" cstate="print">
                            <a:extLst>
                              <a:ext uri="{28A0092B-C50C-407E-A947-70E740481C1C}">
                                <a14:useLocalDpi xmlns:a14="http://schemas.microsoft.com/office/drawing/2010/main" val="false"/>
                              </a:ext>
                            </a:extLst>
                          </a:blip>
                          <a:stretch>
                            <a:fillRect/>
                          </a:stretch>
                        </pic:blipFill>
                        <pic:spPr>
                          <a:xfrm>
                            <a:off x="0" y="0"/>
                            <a:ext cx="1076326" cy="904538"/>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广州市远见房地产代理有限公司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11</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95.80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11年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18818417098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1</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kern w:val="0"/>
                <w:sz w:val="20"/>
                <w:szCs w:val="21"/>
              </w:rPr>
              <w:drawing>
                <wp:inline distT="0" distB="0" distL="0" distR="0">
                  <wp:extent cx="1482725" cy="285750"/>
                  <wp:effectExtent l="0" t="0" r="0" b="0"/>
                  <wp:docPr id="17" name="图片 17" descr="C:\Users\研究部1\AppData\Local\Temp\WeChat Files\4aa21e74dd80074d46755964d6065b80_.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C:\Users\研究部1\AppData\Local\Temp\WeChat Files\4aa21e74dd80074d46755964d6065b80_.png"/>
                          <pic:cNvPicPr>
                            <a:picLocks noChangeAspect="true" noChangeArrowheads="true"/>
                          </pic:cNvPicPr>
                        </pic:nvPicPr>
                        <pic:blipFill>
                          <a:blip r:embed="rId26" cstate="print">
                            <a:extLst>
                              <a:ext uri="{28A0092B-C50C-407E-A947-70E740481C1C}">
                                <a14:useLocalDpi xmlns:a14="http://schemas.microsoft.com/office/drawing/2010/main" val="false"/>
                              </a:ext>
                            </a:extLst>
                          </a:blip>
                          <a:srcRect/>
                          <a:stretch>
                            <a:fillRect/>
                          </a:stretch>
                        </pic:blipFill>
                        <pic:spPr>
                          <a:xfrm>
                            <a:off x="0" y="0"/>
                            <a:ext cx="1492063" cy="287967"/>
                          </a:xfrm>
                          <a:prstGeom prst="rect">
                            <a:avLst/>
                          </a:prstGeom>
                          <a:noFill/>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广州市祈安地产代理有限公司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89.10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25年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020-81366003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2</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857250" cy="857250"/>
                  <wp:effectExtent l="0" t="0" r="0" b="0"/>
                  <wp:docPr id="295" name="图片 1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5" name="图片 135"/>
                          <pic:cNvPicPr>
                            <a:picLocks noChangeAspect="true" noChangeArrowheads="true"/>
                          </pic:cNvPicPr>
                        </pic:nvPicPr>
                        <pic:blipFill>
                          <a:blip r:embed="rId27" cstate="print">
                            <a:extLst>
                              <a:ext uri="{28A0092B-C50C-407E-A947-70E740481C1C}">
                                <a14:useLocalDpi xmlns:a14="http://schemas.microsoft.com/office/drawing/2010/main" val="false"/>
                              </a:ext>
                            </a:extLst>
                          </a:blip>
                          <a:srcRect/>
                          <a:stretch>
                            <a:fillRect/>
                          </a:stretch>
                        </pic:blipFill>
                        <pic:spPr>
                          <a:xfrm>
                            <a:off x="0" y="0"/>
                            <a:ext cx="857250" cy="857250"/>
                          </a:xfrm>
                          <a:prstGeom prst="rect">
                            <a:avLst/>
                          </a:prstGeom>
                          <a:noFill/>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广州市添房置业有限公司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21</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83.04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5年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暂无统一客服热线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3</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414780" cy="329565"/>
                  <wp:effectExtent l="0" t="0" r="0" b="0"/>
                  <wp:docPr id="299" name="图片 5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9" name="图片 51"/>
                          <pic:cNvPicPr>
                            <a:picLocks noChangeAspect="true"/>
                          </pic:cNvPicPr>
                        </pic:nvPicPr>
                        <pic:blipFill>
                          <a:blip r:embed="rId28" cstate="print">
                            <a:extLst>
                              <a:ext uri="{28A0092B-C50C-407E-A947-70E740481C1C}">
                                <a14:useLocalDpi xmlns:a14="http://schemas.microsoft.com/office/drawing/2010/main" val="false"/>
                              </a:ext>
                            </a:extLst>
                          </a:blip>
                          <a:stretch>
                            <a:fillRect/>
                          </a:stretch>
                        </pic:blipFill>
                        <pic:spPr>
                          <a:xfrm>
                            <a:off x="0" y="0"/>
                            <a:ext cx="1459386" cy="340389"/>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广州珍房源房地产经纪有限公司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 w:val="21"/>
                <w:szCs w:val="21"/>
                <w14:textFill>
                  <w14:solidFill>
                    <w14:schemeClr w14:val="tx1"/>
                  </w14:solidFill>
                </w14:textFill>
              </w:rPr>
              <w:t>（直营+加盟）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22</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80.18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暂无统一客服热线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4</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114300" distR="114300">
                  <wp:extent cx="1446530" cy="497840"/>
                  <wp:effectExtent l="0" t="0" r="1270" b="0"/>
                  <wp:docPr id="298" name="图片 40" descr="置家"/>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8" name="图片 40" descr="置家"/>
                          <pic:cNvPicPr>
                            <a:picLocks noChangeAspect="true"/>
                          </pic:cNvPicPr>
                        </pic:nvPicPr>
                        <pic:blipFill>
                          <a:blip r:embed="rId29"/>
                          <a:srcRect l="15316" r="9768"/>
                          <a:stretch>
                            <a:fillRect/>
                          </a:stretch>
                        </pic:blipFill>
                        <pic:spPr>
                          <a:xfrm>
                            <a:off x="0" y="0"/>
                            <a:ext cx="1449878" cy="499087"/>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广州市置家房地产代理有限公司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241</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78.47</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16年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400-830-3488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5</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color w:val="000000"/>
                <w:kern w:val="0"/>
                <w:sz w:val="20"/>
                <w:szCs w:val="21"/>
              </w:rPr>
              <w:drawing>
                <wp:inline distT="0" distB="0" distL="0" distR="0">
                  <wp:extent cx="1470025" cy="421005"/>
                  <wp:effectExtent l="0" t="0" r="0" b="0"/>
                  <wp:docPr id="23"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true" noChangeArrowheads="true"/>
                          </pic:cNvPicPr>
                        </pic:nvPicPr>
                        <pic:blipFill>
                          <a:blip r:embed="rId30" cstate="print">
                            <a:extLst>
                              <a:ext uri="{28A0092B-C50C-407E-A947-70E740481C1C}">
                                <a14:useLocalDpi xmlns:a14="http://schemas.microsoft.com/office/drawing/2010/main" val="false"/>
                              </a:ext>
                            </a:extLst>
                          </a:blip>
                          <a:srcRect/>
                          <a:stretch>
                            <a:fillRect/>
                          </a:stretch>
                        </pic:blipFill>
                        <pic:spPr>
                          <a:xfrm>
                            <a:off x="0" y="0"/>
                            <a:ext cx="1471434" cy="421647"/>
                          </a:xfrm>
                          <a:prstGeom prst="rect">
                            <a:avLst/>
                          </a:prstGeom>
                          <a:noFill/>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广州市共和房地产代理有限公司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35</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77.34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10年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13602492983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6</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502410" cy="574040"/>
                  <wp:effectExtent l="0" t="0" r="2540" b="0"/>
                  <wp:docPr id="304" name="图片 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4" name="图片 48"/>
                          <pic:cNvPicPr>
                            <a:picLocks noChangeAspect="true"/>
                          </pic:cNvPicPr>
                        </pic:nvPicPr>
                        <pic:blipFill>
                          <a:blip r:embed="rId31">
                            <a:extLst>
                              <a:ext uri="{28A0092B-C50C-407E-A947-70E740481C1C}">
                                <a14:useLocalDpi xmlns:a14="http://schemas.microsoft.com/office/drawing/2010/main" val="false"/>
                              </a:ext>
                            </a:extLst>
                          </a:blip>
                          <a:stretch>
                            <a:fillRect/>
                          </a:stretch>
                        </pic:blipFill>
                        <pic:spPr>
                          <a:xfrm>
                            <a:off x="0" y="0"/>
                            <a:ext cx="1505475" cy="575307"/>
                          </a:xfrm>
                          <a:prstGeom prst="rect">
                            <a:avLst/>
                          </a:prstGeom>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德佑（天津）房地产经纪服务有限公司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 w:val="21"/>
                <w:szCs w:val="21"/>
                <w14:textFill>
                  <w14:solidFill>
                    <w14:schemeClr w14:val="tx1"/>
                  </w14:solidFill>
                </w14:textFill>
              </w:rPr>
              <w:t>（加盟）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680</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77.26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5年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10106188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7</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969010" cy="795020"/>
                  <wp:effectExtent l="0" t="0" r="2540" b="5080"/>
                  <wp:docPr id="303"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3" name="图片 47"/>
                          <pic:cNvPicPr>
                            <a:picLocks noChangeAspect="true"/>
                          </pic:cNvPicPr>
                        </pic:nvPicPr>
                        <pic:blipFill>
                          <a:blip r:embed="rId32" cstate="print">
                            <a:extLst>
                              <a:ext uri="{28A0092B-C50C-407E-A947-70E740481C1C}">
                                <a14:useLocalDpi xmlns:a14="http://schemas.microsoft.com/office/drawing/2010/main" val="false"/>
                              </a:ext>
                            </a:extLst>
                          </a:blip>
                          <a:srcRect t="9375" b="8594"/>
                          <a:stretch>
                            <a:fillRect/>
                          </a:stretch>
                        </pic:blipFill>
                        <pic:spPr>
                          <a:xfrm>
                            <a:off x="0" y="0"/>
                            <a:ext cx="973448" cy="798535"/>
                          </a:xfrm>
                          <a:prstGeom prst="rect">
                            <a:avLst/>
                          </a:prstGeom>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上海住商房地产经纪有限公司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273</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76.56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5年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10106188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1</w:t>
            </w:r>
            <w:r>
              <w:rPr>
                <w:rFonts w:hint="eastAsia" w:ascii="Times New Roman" w:hAnsi="Times New Roman" w:eastAsia="仿宋"/>
                <w:color w:val="000000" w:themeColor="text1"/>
                <w:sz w:val="22"/>
                <w14:textFill>
                  <w14:solidFill>
                    <w14:schemeClr w14:val="tx1"/>
                  </w14:solidFill>
                </w14:textFill>
              </w:rPr>
              <w:t>8</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873760" cy="856615"/>
                  <wp:effectExtent l="0" t="0" r="2540" b="635"/>
                  <wp:docPr id="15" name="图片 15" descr="C:\Users\gzrea\AppData\Local\Temp\WeChat Files\007256c405e29145856d1d04af93089.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C:\Users\gzrea\AppData\Local\Temp\WeChat Files\007256c405e29145856d1d04af93089.jpg"/>
                          <pic:cNvPicPr>
                            <a:picLocks noChangeAspect="true" noChangeArrowheads="true"/>
                          </pic:cNvPicPr>
                        </pic:nvPicPr>
                        <pic:blipFill>
                          <a:blip r:embed="rId33">
                            <a:extLst>
                              <a:ext uri="{28A0092B-C50C-407E-A947-70E740481C1C}">
                                <a14:useLocalDpi xmlns:a14="http://schemas.microsoft.com/office/drawing/2010/main" val="false"/>
                              </a:ext>
                            </a:extLst>
                          </a:blip>
                          <a:srcRect/>
                          <a:stretch>
                            <a:fillRect/>
                          </a:stretch>
                        </pic:blipFill>
                        <pic:spPr>
                          <a:xfrm>
                            <a:off x="0" y="0"/>
                            <a:ext cx="873981" cy="856800"/>
                          </a:xfrm>
                          <a:prstGeom prst="rect">
                            <a:avLst/>
                          </a:prstGeom>
                          <a:noFill/>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糯家（深圳）信息科技有限公司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 w:val="21"/>
                <w:szCs w:val="21"/>
                <w14:textFill>
                  <w14:solidFill>
                    <w14:schemeClr w14:val="tx1"/>
                  </w14:solidFill>
                </w14:textFill>
              </w:rPr>
              <w:t>（加盟）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104</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75.04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3年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400-002-3777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hint="eastAsia" w:ascii="Times New Roman" w:hAnsi="Times New Roman" w:eastAsia="仿宋"/>
                <w:color w:val="000000" w:themeColor="text1"/>
                <w:sz w:val="22"/>
                <w14:textFill>
                  <w14:solidFill>
                    <w14:schemeClr w14:val="tx1"/>
                  </w14:solidFill>
                </w14:textFill>
              </w:rPr>
              <w:t>19</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249045" cy="647700"/>
                  <wp:effectExtent l="0" t="0" r="0" b="0"/>
                  <wp:docPr id="302" name="图片 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2" name="图片 46"/>
                          <pic:cNvPicPr>
                            <a:picLocks noChangeAspect="true"/>
                          </pic:cNvPicPr>
                        </pic:nvPicPr>
                        <pic:blipFill>
                          <a:blip r:embed="rId34" cstate="print">
                            <a:extLst>
                              <a:ext uri="{28A0092B-C50C-407E-A947-70E740481C1C}">
                                <a14:useLocalDpi xmlns:a14="http://schemas.microsoft.com/office/drawing/2010/main" val="false"/>
                              </a:ext>
                            </a:extLst>
                          </a:blip>
                          <a:srcRect t="6131"/>
                          <a:stretch>
                            <a:fillRect/>
                          </a:stretch>
                        </pic:blipFill>
                        <pic:spPr>
                          <a:xfrm>
                            <a:off x="0" y="0"/>
                            <a:ext cx="1253211" cy="650456"/>
                          </a:xfrm>
                          <a:prstGeom prst="rect">
                            <a:avLst/>
                          </a:prstGeom>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住天下（广州）不动产经营有限公司</w:t>
            </w:r>
          </w:p>
          <w:p>
            <w:pPr>
              <w:pStyle w:val="26"/>
              <w:ind w:firstLine="0"/>
              <w:jc w:val="center"/>
              <w:rPr>
                <w:rFonts w:hint="default" w:eastAsia="仿宋"/>
                <w:color w:val="000000" w:themeColor="text1"/>
                <w:sz w:val="21"/>
                <w:szCs w:val="21"/>
                <w14:textFill>
                  <w14:solidFill>
                    <w14:schemeClr w14:val="tx1"/>
                  </w14:solidFill>
                </w14:textFill>
              </w:rPr>
            </w:pPr>
            <w:r>
              <w:rPr>
                <w:rFonts w:hint="default" w:eastAsia="仿宋"/>
                <w:color w:val="000000" w:themeColor="text1"/>
                <w:szCs w:val="21"/>
                <w14:textFill>
                  <w14:solidFill>
                    <w14:schemeClr w14:val="tx1"/>
                  </w14:solidFill>
                </w14:textFill>
              </w:rPr>
              <w:t>（加盟）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76</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75.00</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15622900658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2</w:t>
            </w:r>
            <w:r>
              <w:rPr>
                <w:rFonts w:hint="eastAsia" w:ascii="Times New Roman" w:hAnsi="Times New Roman" w:eastAsia="仿宋"/>
                <w:color w:val="000000" w:themeColor="text1"/>
                <w:sz w:val="22"/>
                <w14:textFill>
                  <w14:solidFill>
                    <w14:schemeClr w14:val="tx1"/>
                  </w14:solidFill>
                </w14:textFill>
              </w:rPr>
              <w:t>0</w:t>
            </w:r>
          </w:p>
        </w:tc>
        <w:tc>
          <w:tcPr>
            <w:tcW w:w="3829" w:type="dxa"/>
            <w:vAlign w:val="center"/>
          </w:tcPr>
          <w:p>
            <w:pPr>
              <w:jc w:val="center"/>
              <w:rPr>
                <w:rFonts w:ascii="Times New Roman" w:hAnsi="Times New Roman" w:eastAsia="仿宋"/>
                <w:color w:val="000000"/>
                <w:szCs w:val="21"/>
              </w:rPr>
            </w:pPr>
            <w:r>
              <w:rPr>
                <w:rFonts w:ascii="Times New Roman" w:hAnsi="Times New Roman"/>
                <w:color w:val="000000"/>
                <w:kern w:val="0"/>
                <w:sz w:val="20"/>
                <w:szCs w:val="21"/>
              </w:rPr>
              <w:drawing>
                <wp:inline distT="0" distB="0" distL="0" distR="0">
                  <wp:extent cx="1166495" cy="429895"/>
                  <wp:effectExtent l="0" t="0" r="0" b="8255"/>
                  <wp:docPr id="25"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true" noChangeArrowheads="true"/>
                          </pic:cNvPicPr>
                        </pic:nvPicPr>
                        <pic:blipFill>
                          <a:blip r:embed="rId35">
                            <a:extLst>
                              <a:ext uri="{28A0092B-C50C-407E-A947-70E740481C1C}">
                                <a14:useLocalDpi xmlns:a14="http://schemas.microsoft.com/office/drawing/2010/main" val="false"/>
                              </a:ext>
                            </a:extLst>
                          </a:blip>
                          <a:srcRect/>
                          <a:stretch>
                            <a:fillRect/>
                          </a:stretch>
                        </pic:blipFill>
                        <pic:spPr>
                          <a:xfrm>
                            <a:off x="0" y="0"/>
                            <a:ext cx="1172169" cy="432197"/>
                          </a:xfrm>
                          <a:prstGeom prst="rect">
                            <a:avLst/>
                          </a:prstGeom>
                          <a:noFill/>
                        </pic:spPr>
                      </pic:pic>
                    </a:graphicData>
                  </a:graphic>
                </wp:inline>
              </w:drawing>
            </w:r>
          </w:p>
          <w:p>
            <w:pPr>
              <w:jc w:val="center"/>
              <w:rPr>
                <w:rFonts w:ascii="Times New Roman" w:hAnsi="Times New Roman" w:eastAsia="仿宋"/>
                <w:color w:val="000000"/>
                <w:szCs w:val="21"/>
              </w:rPr>
            </w:pPr>
            <w:r>
              <w:rPr>
                <w:rFonts w:ascii="Times New Roman" w:hAnsi="Times New Roman" w:eastAsia="仿宋"/>
                <w:color w:val="000000"/>
                <w:szCs w:val="21"/>
              </w:rPr>
              <w:t>广州看房网数据服务有限公司</w:t>
            </w:r>
          </w:p>
          <w:p>
            <w:pPr>
              <w:jc w:val="center"/>
              <w:rPr>
                <w:rFonts w:ascii="Times New Roman" w:hAnsi="Times New Roman" w:eastAsia="仿宋"/>
                <w:color w:val="000000"/>
                <w:szCs w:val="21"/>
              </w:rPr>
            </w:pPr>
            <w:r>
              <w:rPr>
                <w:rFonts w:ascii="Times New Roman" w:hAnsi="Times New Roman" w:eastAsia="仿宋"/>
                <w:color w:val="000000"/>
                <w:szCs w:val="21"/>
              </w:rPr>
              <w:t>（加盟）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54</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74.64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暂无统一客服热线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2</w:t>
            </w:r>
            <w:r>
              <w:rPr>
                <w:rFonts w:hint="eastAsia" w:ascii="Times New Roman" w:hAnsi="Times New Roman" w:eastAsia="仿宋"/>
                <w:color w:val="000000" w:themeColor="text1"/>
                <w:sz w:val="22"/>
                <w14:textFill>
                  <w14:solidFill>
                    <w14:schemeClr w14:val="tx1"/>
                  </w14:solidFill>
                </w14:textFill>
              </w:rPr>
              <w:t>1</w:t>
            </w:r>
          </w:p>
        </w:tc>
        <w:tc>
          <w:tcPr>
            <w:tcW w:w="3829" w:type="dxa"/>
            <w:vAlign w:val="center"/>
          </w:tcPr>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drawing>
                <wp:inline distT="0" distB="0" distL="0" distR="0">
                  <wp:extent cx="1878965" cy="356235"/>
                  <wp:effectExtent l="0" t="0" r="6985" b="5715"/>
                  <wp:docPr id="29" name="图片 29" descr="C:\Users\gzrea\AppData\Local\Temp\WeChat Files\1e30b428122a75e6a3def516a7bf3e8.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descr="C:\Users\gzrea\AppData\Local\Temp\WeChat Files\1e30b428122a75e6a3def516a7bf3e8.png"/>
                          <pic:cNvPicPr>
                            <a:picLocks noChangeAspect="true" noChangeArrowheads="true"/>
                          </pic:cNvPicPr>
                        </pic:nvPicPr>
                        <pic:blipFill>
                          <a:blip r:embed="rId36">
                            <a:extLst>
                              <a:ext uri="{28A0092B-C50C-407E-A947-70E740481C1C}">
                                <a14:useLocalDpi xmlns:a14="http://schemas.microsoft.com/office/drawing/2010/main" val="false"/>
                              </a:ext>
                            </a:extLst>
                          </a:blip>
                          <a:srcRect/>
                          <a:stretch>
                            <a:fillRect/>
                          </a:stretch>
                        </pic:blipFill>
                        <pic:spPr>
                          <a:xfrm>
                            <a:off x="0" y="0"/>
                            <a:ext cx="1884060" cy="357489"/>
                          </a:xfrm>
                          <a:prstGeom prst="rect">
                            <a:avLst/>
                          </a:prstGeom>
                          <a:noFill/>
                          <a:ln>
                            <a:noFill/>
                          </a:ln>
                        </pic:spPr>
                      </pic:pic>
                    </a:graphicData>
                  </a:graphic>
                </wp:inline>
              </w:drawing>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广州优居房地产经纪有限公司</w:t>
            </w:r>
          </w:p>
          <w:p>
            <w:pPr>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（直营+加盟）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45</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73.44</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6年</w:t>
            </w:r>
          </w:p>
        </w:tc>
        <w:tc>
          <w:tcPr>
            <w:tcW w:w="1702" w:type="dxa"/>
            <w:vAlign w:val="center"/>
          </w:tcPr>
          <w:p>
            <w:pPr>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89309116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7" w:type="dxa"/>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color w:val="000000" w:themeColor="text1"/>
                <w:sz w:val="22"/>
                <w14:textFill>
                  <w14:solidFill>
                    <w14:schemeClr w14:val="tx1"/>
                  </w14:solidFill>
                </w14:textFill>
              </w:rPr>
              <w:t>2</w:t>
            </w:r>
            <w:r>
              <w:rPr>
                <w:rFonts w:hint="eastAsia" w:ascii="Times New Roman" w:hAnsi="Times New Roman" w:eastAsia="仿宋"/>
                <w:color w:val="000000" w:themeColor="text1"/>
                <w:sz w:val="22"/>
                <w14:textFill>
                  <w14:solidFill>
                    <w14:schemeClr w14:val="tx1"/>
                  </w14:solidFill>
                </w14:textFill>
              </w:rPr>
              <w:t>2</w:t>
            </w:r>
          </w:p>
        </w:tc>
        <w:tc>
          <w:tcPr>
            <w:tcW w:w="3829" w:type="dxa"/>
            <w:vAlign w:val="center"/>
          </w:tcPr>
          <w:p>
            <w:pPr>
              <w:jc w:val="center"/>
              <w:rPr>
                <w:rFonts w:ascii="Times New Roman" w:hAnsi="Times New Roman" w:eastAsia="仿宋"/>
                <w:color w:val="000000"/>
                <w:szCs w:val="21"/>
              </w:rPr>
            </w:pPr>
            <w:r>
              <w:rPr>
                <w:rFonts w:ascii="Times New Roman" w:hAnsi="Times New Roman"/>
                <w:kern w:val="0"/>
                <w:sz w:val="20"/>
                <w:szCs w:val="20"/>
              </w:rPr>
              <w:drawing>
                <wp:inline distT="0" distB="0" distL="0" distR="0">
                  <wp:extent cx="1514475" cy="537845"/>
                  <wp:effectExtent l="0" t="0" r="0" b="0"/>
                  <wp:docPr id="27"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true"/>
                          </pic:cNvPicPr>
                        </pic:nvPicPr>
                        <pic:blipFill>
                          <a:blip r:embed="rId37"/>
                          <a:stretch>
                            <a:fillRect/>
                          </a:stretch>
                        </pic:blipFill>
                        <pic:spPr>
                          <a:xfrm>
                            <a:off x="0" y="0"/>
                            <a:ext cx="1525200" cy="542108"/>
                          </a:xfrm>
                          <a:prstGeom prst="rect">
                            <a:avLst/>
                          </a:prstGeom>
                        </pic:spPr>
                      </pic:pic>
                    </a:graphicData>
                  </a:graphic>
                </wp:inline>
              </w:drawing>
            </w:r>
          </w:p>
          <w:p>
            <w:pPr>
              <w:jc w:val="center"/>
              <w:rPr>
                <w:rFonts w:ascii="Times New Roman" w:hAnsi="Times New Roman" w:eastAsia="仿宋"/>
                <w:color w:val="000000"/>
                <w:szCs w:val="21"/>
              </w:rPr>
            </w:pPr>
            <w:r>
              <w:rPr>
                <w:rFonts w:ascii="Times New Roman" w:hAnsi="Times New Roman" w:eastAsia="仿宋"/>
                <w:color w:val="000000"/>
                <w:szCs w:val="21"/>
              </w:rPr>
              <w:t>北京埃菲特国际特许经营咨询服务有限公司</w:t>
            </w:r>
          </w:p>
          <w:p>
            <w:pPr>
              <w:jc w:val="center"/>
              <w:rPr>
                <w:rFonts w:ascii="Times New Roman" w:hAnsi="Times New Roman" w:eastAsia="仿宋"/>
                <w:color w:val="000000"/>
                <w:szCs w:val="21"/>
              </w:rPr>
            </w:pPr>
            <w:r>
              <w:rPr>
                <w:rFonts w:ascii="Times New Roman" w:hAnsi="Times New Roman" w:eastAsia="仿宋"/>
                <w:color w:val="000000"/>
                <w:szCs w:val="21"/>
              </w:rPr>
              <w:t>（加盟）</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12</w:t>
            </w:r>
          </w:p>
        </w:tc>
        <w:tc>
          <w:tcPr>
            <w:tcW w:w="991"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73.11 </w:t>
            </w:r>
          </w:p>
        </w:tc>
        <w:tc>
          <w:tcPr>
            <w:tcW w:w="71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诚信</w:t>
            </w:r>
          </w:p>
        </w:tc>
        <w:tc>
          <w:tcPr>
            <w:tcW w:w="850"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2年</w:t>
            </w:r>
          </w:p>
        </w:tc>
        <w:tc>
          <w:tcPr>
            <w:tcW w:w="1702" w:type="dxa"/>
            <w:vAlign w:val="center"/>
          </w:tcPr>
          <w:p>
            <w:pPr>
              <w:jc w:val="center"/>
              <w:rPr>
                <w:rFonts w:ascii="Times New Roman" w:hAnsi="Times New Roman" w:eastAsia="仿宋"/>
                <w:color w:val="000000"/>
                <w:sz w:val="24"/>
                <w:szCs w:val="24"/>
              </w:rPr>
            </w:pPr>
            <w:r>
              <w:rPr>
                <w:rFonts w:ascii="Times New Roman" w:hAnsi="Times New Roman" w:eastAsia="仿宋"/>
                <w:color w:val="000000"/>
                <w:sz w:val="24"/>
                <w:szCs w:val="24"/>
              </w:rPr>
              <w:t>400-6509-721</w:t>
            </w:r>
          </w:p>
        </w:tc>
      </w:tr>
    </w:tbl>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rPr>
          <w:rFonts w:ascii="Times New Roman" w:hAnsi="Times New Roman"/>
          <w:color w:val="000000" w:themeColor="text1"/>
          <w:sz w:val="22"/>
          <w14:textFill>
            <w14:solidFill>
              <w14:schemeClr w14:val="tx1"/>
            </w14:solidFill>
          </w14:textFill>
        </w:rPr>
      </w:pPr>
      <w:r>
        <w:rPr>
          <w:rFonts w:ascii="Times New Roman" w:hAnsi="Times New Roman"/>
          <w:color w:val="000000" w:themeColor="text1"/>
          <w:sz w:val="22"/>
          <w14:textFill>
            <w14:solidFill>
              <w14:schemeClr w14:val="tx1"/>
            </w14:solidFill>
          </w14:textFill>
        </w:rPr>
        <w:t>注：</w:t>
      </w:r>
      <w:r>
        <w:rPr>
          <w:rFonts w:hint="eastAsia" w:ascii="宋体" w:hAnsi="宋体" w:cs="宋体"/>
          <w:color w:val="000000" w:themeColor="text1"/>
          <w:sz w:val="22"/>
          <w14:textFill>
            <w14:solidFill>
              <w14:schemeClr w14:val="tx1"/>
            </w14:solidFill>
          </w14:textFill>
        </w:rPr>
        <w:t>①</w:t>
      </w:r>
      <w:r>
        <w:rPr>
          <w:rFonts w:ascii="Times New Roman" w:hAnsi="Times New Roman"/>
          <w:color w:val="000000" w:themeColor="text1"/>
          <w:sz w:val="22"/>
          <w14:textFill>
            <w14:solidFill>
              <w14:schemeClr w14:val="tx1"/>
            </w14:solidFill>
          </w14:textFill>
        </w:rPr>
        <w:t>备案门店数据统计时间截止2022年12月31日；</w:t>
      </w:r>
    </w:p>
    <w:p>
      <w:pPr>
        <w:spacing w:line="360" w:lineRule="auto"/>
        <w:ind w:firstLine="440" w:firstLineChars="200"/>
        <w:rPr>
          <w:rFonts w:ascii="Times New Roman" w:hAnsi="Times New Roman"/>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②</w:t>
      </w:r>
      <w:r>
        <w:rPr>
          <w:rFonts w:ascii="Times New Roman" w:hAnsi="Times New Roman"/>
          <w:color w:val="000000" w:themeColor="text1"/>
          <w:sz w:val="22"/>
          <w14:textFill>
            <w14:solidFill>
              <w14:schemeClr w14:val="tx1"/>
            </w14:solidFill>
          </w14:textFill>
        </w:rPr>
        <w:t>上述涉及加盟业务的品牌下辖的中介机构名单，可登陆市中介协会官网（www.gzrea.org.cn）-新闻中心-通知公告栏目查看。</w:t>
      </w:r>
    </w:p>
    <w:p>
      <w:pPr>
        <w:pStyle w:val="2"/>
        <w:pageBreakBefore/>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11" w:name="_Toc98168318"/>
      <w:bookmarkStart w:id="12" w:name="_Toc129785092"/>
      <w:r>
        <w:rPr>
          <w:rFonts w:ascii="Times New Roman" w:hAnsi="Times New Roman" w:eastAsia="黑体"/>
          <w:bCs w:val="0"/>
          <w:color w:val="000000" w:themeColor="text1"/>
          <w:sz w:val="32"/>
          <w:szCs w:val="24"/>
          <w14:textFill>
            <w14:solidFill>
              <w14:schemeClr w14:val="tx1"/>
            </w14:solidFill>
          </w14:textFill>
        </w:rPr>
        <w:t>五、从业人员信用状况</w:t>
      </w:r>
      <w:bookmarkEnd w:id="11"/>
      <w:bookmarkEnd w:id="12"/>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13" w:name="_Toc129785093"/>
      <w:bookmarkStart w:id="14" w:name="_Toc98168319"/>
      <w:r>
        <w:rPr>
          <w:rFonts w:ascii="Times New Roman" w:hAnsi="Times New Roman" w:eastAsia="黑体" w:cs="Times New Roman"/>
          <w:bCs w:val="0"/>
          <w:color w:val="000000" w:themeColor="text1"/>
          <w:sz w:val="28"/>
          <w:szCs w:val="28"/>
          <w14:textFill>
            <w14:solidFill>
              <w14:schemeClr w14:val="tx1"/>
            </w14:solidFill>
          </w14:textFill>
        </w:rPr>
        <w:t>（一）整体情况</w:t>
      </w:r>
      <w:bookmarkEnd w:id="13"/>
      <w:bookmarkEnd w:id="14"/>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截至2022年12月31日，全市已有129504</w:t>
      </w:r>
      <w:r>
        <w:rPr>
          <w:rFonts w:ascii="Times New Roman" w:hAnsi="Times New Roman"/>
          <w:color w:val="000000" w:themeColor="text1"/>
          <w:sz w:val="24"/>
          <w:szCs w:val="24"/>
          <w:lang w:val="zh-TW" w:eastAsia="zh-TW"/>
          <w14:textFill>
            <w14:solidFill>
              <w14:schemeClr w14:val="tx1"/>
            </w14:solidFill>
          </w14:textFill>
        </w:rPr>
        <w:t>名</w:t>
      </w:r>
      <w:r>
        <w:rPr>
          <w:rFonts w:ascii="Times New Roman" w:hAnsi="Times New Roman"/>
          <w:color w:val="000000" w:themeColor="text1"/>
          <w:sz w:val="24"/>
          <w:szCs w:val="24"/>
          <w14:textFill>
            <w14:solidFill>
              <w14:schemeClr w14:val="tx1"/>
            </w14:solidFill>
          </w14:textFill>
        </w:rPr>
        <w:t>从业人员建立信用档案，较2021年增</w:t>
      </w:r>
      <w:r>
        <w:rPr>
          <w:rFonts w:hint="eastAsia" w:ascii="Times New Roman" w:hAnsi="Times New Roman"/>
          <w:color w:val="000000" w:themeColor="text1"/>
          <w:sz w:val="24"/>
          <w:szCs w:val="24"/>
          <w14:textFill>
            <w14:solidFill>
              <w14:schemeClr w14:val="tx1"/>
            </w14:solidFill>
          </w14:textFill>
        </w:rPr>
        <w:t>加</w:t>
      </w:r>
      <w:r>
        <w:rPr>
          <w:rFonts w:ascii="Times New Roman" w:hAnsi="Times New Roman"/>
          <w:color w:val="000000" w:themeColor="text1"/>
          <w:sz w:val="24"/>
          <w:szCs w:val="24"/>
          <w14:textFill>
            <w14:solidFill>
              <w14:schemeClr w14:val="tx1"/>
            </w14:solidFill>
          </w14:textFill>
        </w:rPr>
        <w:t>3648人，其中</w:t>
      </w:r>
      <w:r>
        <w:rPr>
          <w:rFonts w:ascii="Times New Roman" w:hAnsi="Times New Roman"/>
          <w:color w:val="000000" w:themeColor="text1"/>
          <w:sz w:val="24"/>
          <w14:textFill>
            <w14:solidFill>
              <w14:schemeClr w14:val="tx1"/>
            </w14:solidFill>
          </w14:textFill>
        </w:rPr>
        <w:t>信用等级为“优质”的从业人员共1349人，信用等级为“良好”的共计1966人；信用等级为“诚信”的共计78390人，比例为60.53%；信用等级为“暂定诚信</w:t>
      </w:r>
      <w:r>
        <w:rPr>
          <w:rStyle w:val="25"/>
          <w:rFonts w:ascii="Times New Roman" w:hAnsi="Times New Roman"/>
          <w:color w:val="000000" w:themeColor="text1"/>
          <w:sz w:val="24"/>
          <w14:textFill>
            <w14:solidFill>
              <w14:schemeClr w14:val="tx1"/>
            </w14:solidFill>
          </w14:textFill>
        </w:rPr>
        <w:footnoteReference w:id="8"/>
      </w:r>
      <w:r>
        <w:rPr>
          <w:rFonts w:ascii="Times New Roman" w:hAnsi="Times New Roman"/>
          <w:color w:val="000000" w:themeColor="text1"/>
          <w:sz w:val="24"/>
          <w14:textFill>
            <w14:solidFill>
              <w14:schemeClr w14:val="tx1"/>
            </w14:solidFill>
          </w14:textFill>
        </w:rPr>
        <w:t>”的有47795人，比例为36.91%；信用等级为“预警</w:t>
      </w:r>
      <w:r>
        <w:rPr>
          <w:rStyle w:val="25"/>
          <w:rFonts w:ascii="Times New Roman" w:hAnsi="Times New Roman"/>
          <w:color w:val="000000" w:themeColor="text1"/>
          <w:sz w:val="24"/>
          <w14:textFill>
            <w14:solidFill>
              <w14:schemeClr w14:val="tx1"/>
            </w14:solidFill>
          </w14:textFill>
        </w:rPr>
        <w:footnoteReference w:id="9"/>
      </w:r>
      <w:r>
        <w:rPr>
          <w:rFonts w:ascii="Times New Roman" w:hAnsi="Times New Roman"/>
          <w:color w:val="000000" w:themeColor="text1"/>
          <w:sz w:val="24"/>
          <w14:textFill>
            <w14:solidFill>
              <w14:schemeClr w14:val="tx1"/>
            </w14:solidFill>
          </w14:textFill>
        </w:rPr>
        <w:t>”、“失信”的从业人员则分别有3人和1人，如图5所示。</w:t>
      </w:r>
    </w:p>
    <w:p>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4596765" cy="2700655"/>
            <wp:effectExtent l="0" t="0" r="0" b="4445"/>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noChangeArrowheads="true"/>
                    </pic:cNvPicPr>
                  </pic:nvPicPr>
                  <pic:blipFill>
                    <a:blip r:embed="rId38">
                      <a:extLst>
                        <a:ext uri="{28A0092B-C50C-407E-A947-70E740481C1C}">
                          <a14:useLocalDpi xmlns:a14="http://schemas.microsoft.com/office/drawing/2010/main" val="false"/>
                        </a:ext>
                      </a:extLst>
                    </a:blip>
                    <a:srcRect/>
                    <a:stretch>
                      <a:fillRect/>
                    </a:stretch>
                  </pic:blipFill>
                  <pic:spPr>
                    <a:xfrm>
                      <a:off x="0" y="0"/>
                      <a:ext cx="4596765" cy="2700655"/>
                    </a:xfrm>
                    <a:prstGeom prst="rect">
                      <a:avLst/>
                    </a:prstGeom>
                    <a:noFill/>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图5  从业人员信用等级结构</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从图5可知，信用等级为“诚信”和“暂定诚信”的从业人员所占比例合计为97.44%。</w:t>
      </w:r>
      <w:r>
        <w:rPr>
          <w:rFonts w:hint="eastAsia" w:ascii="Times New Roman" w:hAnsi="Times New Roman"/>
          <w:color w:val="000000" w:themeColor="text1"/>
          <w:sz w:val="24"/>
          <w14:textFill>
            <w14:solidFill>
              <w14:schemeClr w14:val="tx1"/>
            </w14:solidFill>
          </w14:textFill>
        </w:rPr>
        <w:t>与</w:t>
      </w:r>
      <w:r>
        <w:rPr>
          <w:rFonts w:ascii="Times New Roman" w:hAnsi="Times New Roman"/>
          <w:color w:val="000000" w:themeColor="text1"/>
          <w:sz w:val="24"/>
          <w14:textFill>
            <w14:solidFill>
              <w14:schemeClr w14:val="tx1"/>
            </w14:solidFill>
          </w14:textFill>
        </w:rPr>
        <w:t>2021年</w:t>
      </w:r>
      <w:r>
        <w:rPr>
          <w:rFonts w:hint="eastAsia" w:ascii="Times New Roman" w:hAnsi="Times New Roman"/>
          <w:color w:val="000000" w:themeColor="text1"/>
          <w:sz w:val="24"/>
          <w14:textFill>
            <w14:solidFill>
              <w14:schemeClr w14:val="tx1"/>
            </w14:solidFill>
          </w14:textFill>
        </w:rPr>
        <w:t>比</w:t>
      </w:r>
      <w:r>
        <w:rPr>
          <w:rFonts w:ascii="Times New Roman" w:hAnsi="Times New Roman"/>
          <w:color w:val="000000" w:themeColor="text1"/>
          <w:sz w:val="24"/>
          <w14:textFill>
            <w14:solidFill>
              <w14:schemeClr w14:val="tx1"/>
            </w14:solidFill>
          </w14:textFill>
        </w:rPr>
        <w:t>较</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信用等级为“</w:t>
      </w:r>
      <w:r>
        <w:rPr>
          <w:rFonts w:ascii="Times New Roman" w:hAnsi="Times New Roman"/>
          <w:bCs/>
          <w:color w:val="000000" w:themeColor="text1"/>
          <w:sz w:val="24"/>
          <w14:textFill>
            <w14:solidFill>
              <w14:schemeClr w14:val="tx1"/>
            </w14:solidFill>
          </w14:textFill>
        </w:rPr>
        <w:t>优质</w:t>
      </w:r>
      <w:r>
        <w:rPr>
          <w:rFonts w:ascii="Times New Roman" w:hAnsi="Times New Roman"/>
          <w:color w:val="000000" w:themeColor="text1"/>
          <w:sz w:val="24"/>
          <w14:textFill>
            <w14:solidFill>
              <w14:schemeClr w14:val="tx1"/>
            </w14:solidFill>
          </w14:textFill>
        </w:rPr>
        <w:t>”的从业人员增加474人，“良好”信用等级的从业人员增加499人。全市有314名从业人员的信用等级在2020-2022年连续3年为“优质”，继续保持较快增长趋势。</w:t>
      </w:r>
    </w:p>
    <w:p>
      <w:pPr>
        <w:spacing w:line="360" w:lineRule="auto"/>
        <w:jc w:val="center"/>
        <w:rPr>
          <w:rFonts w:ascii="Times New Roman" w:hAnsi="Times New Roman"/>
          <w:color w:val="FF0000"/>
          <w:sz w:val="24"/>
        </w:rPr>
      </w:pPr>
      <w:r>
        <w:rPr>
          <w:rFonts w:ascii="Times New Roman" w:hAnsi="Times New Roman"/>
          <w:color w:val="FF0000"/>
          <w:sz w:val="24"/>
        </w:rPr>
        <w:drawing>
          <wp:inline distT="0" distB="0" distL="0" distR="0">
            <wp:extent cx="1727835" cy="1727835"/>
            <wp:effectExtent l="0" t="0" r="5715" b="5715"/>
            <wp:docPr id="18" name="图片 18" descr="D:\研究部\行业信用白皮书与行业生态研究报告\2022年中介行业信用白皮书\2022年广州市房地产中介从业人员优质等级名单 (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D:\研究部\行业信用白皮书与行业生态研究报告\2022年中介行业信用白皮书\2022年广州市房地产中介从业人员优质等级名单 (1).png"/>
                    <pic:cNvPicPr>
                      <a:picLocks noChangeAspect="true" noChangeArrowheads="true"/>
                    </pic:cNvPicPr>
                  </pic:nvPicPr>
                  <pic:blipFill>
                    <a:blip r:embed="rId39">
                      <a:extLst>
                        <a:ext uri="{28A0092B-C50C-407E-A947-70E740481C1C}">
                          <a14:useLocalDpi xmlns:a14="http://schemas.microsoft.com/office/drawing/2010/main" val="false"/>
                        </a:ext>
                      </a:extLst>
                    </a:blip>
                    <a:srcRect/>
                    <a:stretch>
                      <a:fillRect/>
                    </a:stretch>
                  </pic:blipFill>
                  <pic:spPr>
                    <a:xfrm>
                      <a:off x="0" y="0"/>
                      <a:ext cx="1728000" cy="1728000"/>
                    </a:xfrm>
                    <a:prstGeom prst="rect">
                      <a:avLst/>
                    </a:prstGeom>
                    <a:noFill/>
                    <a:ln>
                      <a:noFill/>
                    </a:ln>
                  </pic:spPr>
                </pic:pic>
              </a:graphicData>
            </a:graphic>
          </wp:inline>
        </w:drawing>
      </w:r>
    </w:p>
    <w:p>
      <w:pPr>
        <w:spacing w:line="360" w:lineRule="auto"/>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szCs w:val="20"/>
          <w14:textFill>
            <w14:solidFill>
              <w14:schemeClr w14:val="tx1"/>
            </w14:solidFill>
          </w14:textFill>
        </w:rPr>
        <w:t>扫码获取2022年广州市房地产中介从业人员优质等级名单</w:t>
      </w:r>
    </w:p>
    <w:p>
      <w:pPr>
        <w:pStyle w:val="26"/>
        <w:ind w:firstLine="0"/>
        <w:jc w:val="center"/>
        <w:rPr>
          <w:rFonts w:hint="default"/>
        </w:rPr>
      </w:pPr>
      <w:r>
        <w:drawing>
          <wp:inline distT="0" distB="0" distL="0" distR="0">
            <wp:extent cx="1727835" cy="1727835"/>
            <wp:effectExtent l="0" t="0" r="5715" b="5715"/>
            <wp:docPr id="19" name="图片 19" descr="D:\研究部\行业信用白皮书与行业生态研究报告\2022年中介行业信用白皮书\2022年广州市房地产中介从业人员良好等级名单 (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descr="D:\研究部\行业信用白皮书与行业生态研究报告\2022年中介行业信用白皮书\2022年广州市房地产中介从业人员良好等级名单 (1).png"/>
                    <pic:cNvPicPr>
                      <a:picLocks noChangeAspect="true" noChangeArrowheads="true"/>
                    </pic:cNvPicPr>
                  </pic:nvPicPr>
                  <pic:blipFill>
                    <a:blip r:embed="rId40">
                      <a:extLst>
                        <a:ext uri="{28A0092B-C50C-407E-A947-70E740481C1C}">
                          <a14:useLocalDpi xmlns:a14="http://schemas.microsoft.com/office/drawing/2010/main" val="false"/>
                        </a:ext>
                      </a:extLst>
                    </a:blip>
                    <a:srcRect/>
                    <a:stretch>
                      <a:fillRect/>
                    </a:stretch>
                  </pic:blipFill>
                  <pic:spPr>
                    <a:xfrm>
                      <a:off x="0" y="0"/>
                      <a:ext cx="1728000" cy="1728000"/>
                    </a:xfrm>
                    <a:prstGeom prst="rect">
                      <a:avLst/>
                    </a:prstGeom>
                    <a:noFill/>
                    <a:ln>
                      <a:noFill/>
                    </a:ln>
                  </pic:spPr>
                </pic:pic>
              </a:graphicData>
            </a:graphic>
          </wp:inline>
        </w:drawing>
      </w:r>
    </w:p>
    <w:p>
      <w:pPr>
        <w:spacing w:line="360" w:lineRule="auto"/>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szCs w:val="20"/>
          <w14:textFill>
            <w14:solidFill>
              <w14:schemeClr w14:val="tx1"/>
            </w14:solidFill>
          </w14:textFill>
        </w:rPr>
        <w:t>扫码获取2022年广州市房地产中介从业人员良好等级名单</w:t>
      </w:r>
    </w:p>
    <w:p>
      <w:pPr>
        <w:jc w:val="center"/>
        <w:rPr>
          <w:rFonts w:ascii="Times New Roman" w:hAnsi="Times New Roman"/>
          <w:color w:val="FF0000"/>
          <w:sz w:val="24"/>
        </w:rPr>
      </w:pPr>
      <w:r>
        <w:rPr>
          <w:rFonts w:ascii="Times New Roman" w:hAnsi="Times New Roman"/>
          <w:color w:val="FF0000"/>
          <w:sz w:val="24"/>
        </w:rPr>
        <w:drawing>
          <wp:inline distT="0" distB="0" distL="0" distR="0">
            <wp:extent cx="1727835" cy="1727835"/>
            <wp:effectExtent l="0" t="0" r="5715" b="5715"/>
            <wp:docPr id="35" name="图片 35" descr="D:\研究部\行业信用白皮书与行业生态研究报告\2022年中介行业信用白皮书\2020-2022年广州市信用等级连续为优质的从业人员名单 (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35" descr="D:\研究部\行业信用白皮书与行业生态研究报告\2022年中介行业信用白皮书\2020-2022年广州市信用等级连续为优质的从业人员名单 (1).png"/>
                    <pic:cNvPicPr>
                      <a:picLocks noChangeAspect="true" noChangeArrowheads="true"/>
                    </pic:cNvPicPr>
                  </pic:nvPicPr>
                  <pic:blipFill>
                    <a:blip r:embed="rId41">
                      <a:extLst>
                        <a:ext uri="{28A0092B-C50C-407E-A947-70E740481C1C}">
                          <a14:useLocalDpi xmlns:a14="http://schemas.microsoft.com/office/drawing/2010/main" val="false"/>
                        </a:ext>
                      </a:extLst>
                    </a:blip>
                    <a:srcRect/>
                    <a:stretch>
                      <a:fillRect/>
                    </a:stretch>
                  </pic:blipFill>
                  <pic:spPr>
                    <a:xfrm>
                      <a:off x="0" y="0"/>
                      <a:ext cx="1728000" cy="1728000"/>
                    </a:xfrm>
                    <a:prstGeom prst="rect">
                      <a:avLst/>
                    </a:prstGeom>
                    <a:noFill/>
                    <a:ln>
                      <a:noFill/>
                    </a:ln>
                  </pic:spPr>
                </pic:pic>
              </a:graphicData>
            </a:graphic>
          </wp:inline>
        </w:drawing>
      </w:r>
    </w:p>
    <w:p>
      <w:pPr>
        <w:spacing w:line="360" w:lineRule="auto"/>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szCs w:val="20"/>
          <w14:textFill>
            <w14:solidFill>
              <w14:schemeClr w14:val="tx1"/>
            </w14:solidFill>
          </w14:textFill>
        </w:rPr>
        <w:t>扫码获取2020-2022年广州市信用等级连续为优质的从业人员名单</w:t>
      </w:r>
    </w:p>
    <w:p>
      <w:pPr>
        <w:jc w:val="center"/>
        <w:rPr>
          <w:rFonts w:ascii="Times New Roman" w:hAnsi="Times New Roman"/>
          <w:color w:val="000000" w:themeColor="text1"/>
          <w14:textFill>
            <w14:solidFill>
              <w14:schemeClr w14:val="tx1"/>
            </w14:solidFill>
          </w14:textFill>
        </w:rPr>
      </w:pP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表5  2022年广州市房地产中介从业人员预警、失信等级名单</w:t>
      </w:r>
    </w:p>
    <w:tbl>
      <w:tblPr>
        <w:tblStyle w:val="19"/>
        <w:tblW w:w="8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992"/>
        <w:gridCol w:w="709"/>
        <w:gridCol w:w="2436"/>
        <w:gridCol w:w="1134"/>
        <w:gridCol w:w="113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41" w:type="dxa"/>
            <w:gridSpan w:val="7"/>
            <w:vAlign w:val="center"/>
          </w:tcPr>
          <w:p>
            <w:pPr>
              <w:jc w:val="center"/>
              <w:rPr>
                <w:rFonts w:ascii="Times New Roman" w:hAnsi="Times New Roman" w:eastAsia="仿宋"/>
                <w:b/>
                <w:color w:val="000000" w:themeColor="text1"/>
                <w:sz w:val="22"/>
                <w14:textFill>
                  <w14:solidFill>
                    <w14:schemeClr w14:val="tx1"/>
                  </w14:solidFill>
                </w14:textFill>
              </w:rPr>
            </w:pPr>
            <w:r>
              <w:rPr>
                <w:rFonts w:ascii="Times New Roman" w:hAnsi="Times New Roman" w:eastAsia="仿宋"/>
                <w:b/>
                <w:color w:val="000000" w:themeColor="text1"/>
                <w:sz w:val="22"/>
                <w14:textFill>
                  <w14:solidFill>
                    <w14:schemeClr w14:val="tx1"/>
                  </w14:solidFill>
                </w14:textFill>
              </w:rPr>
              <w:t>预警等级从业人员名单（共3人）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pPr>
              <w:jc w:val="center"/>
              <w:rPr>
                <w:rFonts w:ascii="Times New Roman" w:hAnsi="Times New Roman" w:eastAsia="黑体"/>
                <w:b/>
                <w:color w:val="000000" w:themeColor="text1"/>
                <w:sz w:val="22"/>
                <w:szCs w:val="21"/>
                <w14:textFill>
                  <w14:solidFill>
                    <w14:schemeClr w14:val="tx1"/>
                  </w14:solidFill>
                </w14:textFill>
              </w:rPr>
            </w:pPr>
            <w:r>
              <w:rPr>
                <w:rFonts w:ascii="Times New Roman" w:hAnsi="Times New Roman" w:eastAsia="黑体"/>
                <w:b/>
                <w:color w:val="000000" w:themeColor="text1"/>
                <w:sz w:val="22"/>
                <w:szCs w:val="21"/>
                <w14:textFill>
                  <w14:solidFill>
                    <w14:schemeClr w14:val="tx1"/>
                  </w14:solidFill>
                </w14:textFill>
              </w:rPr>
              <w:t>序号</w:t>
            </w:r>
          </w:p>
        </w:tc>
        <w:tc>
          <w:tcPr>
            <w:tcW w:w="992" w:type="dxa"/>
            <w:vAlign w:val="center"/>
          </w:tcPr>
          <w:p>
            <w:pPr>
              <w:jc w:val="center"/>
              <w:rPr>
                <w:rFonts w:ascii="Times New Roman" w:hAnsi="Times New Roman" w:eastAsia="黑体"/>
                <w:b/>
                <w:color w:val="000000" w:themeColor="text1"/>
                <w:sz w:val="22"/>
                <w:szCs w:val="21"/>
                <w14:textFill>
                  <w14:solidFill>
                    <w14:schemeClr w14:val="tx1"/>
                  </w14:solidFill>
                </w14:textFill>
              </w:rPr>
            </w:pPr>
            <w:r>
              <w:rPr>
                <w:rFonts w:ascii="Times New Roman" w:hAnsi="Times New Roman" w:eastAsia="黑体"/>
                <w:b/>
                <w:color w:val="000000" w:themeColor="text1"/>
                <w:sz w:val="22"/>
                <w:szCs w:val="21"/>
                <w14:textFill>
                  <w14:solidFill>
                    <w14:schemeClr w14:val="tx1"/>
                  </w14:solidFill>
                </w14:textFill>
              </w:rPr>
              <w:t>姓名</w:t>
            </w:r>
          </w:p>
        </w:tc>
        <w:tc>
          <w:tcPr>
            <w:tcW w:w="709" w:type="dxa"/>
            <w:vAlign w:val="center"/>
          </w:tcPr>
          <w:p>
            <w:pPr>
              <w:jc w:val="center"/>
              <w:rPr>
                <w:rFonts w:ascii="Times New Roman" w:hAnsi="Times New Roman" w:eastAsia="黑体"/>
                <w:b/>
                <w:color w:val="000000" w:themeColor="text1"/>
                <w:sz w:val="22"/>
                <w:szCs w:val="21"/>
                <w14:textFill>
                  <w14:solidFill>
                    <w14:schemeClr w14:val="tx1"/>
                  </w14:solidFill>
                </w14:textFill>
              </w:rPr>
            </w:pPr>
            <w:r>
              <w:rPr>
                <w:rFonts w:ascii="Times New Roman" w:hAnsi="Times New Roman" w:eastAsia="黑体"/>
                <w:b/>
                <w:color w:val="000000" w:themeColor="text1"/>
                <w:sz w:val="22"/>
                <w:szCs w:val="21"/>
                <w14:textFill>
                  <w14:solidFill>
                    <w14:schemeClr w14:val="tx1"/>
                  </w14:solidFill>
                </w14:textFill>
              </w:rPr>
              <w:t>性别</w:t>
            </w:r>
          </w:p>
        </w:tc>
        <w:tc>
          <w:tcPr>
            <w:tcW w:w="2436" w:type="dxa"/>
            <w:vAlign w:val="center"/>
          </w:tcPr>
          <w:p>
            <w:pPr>
              <w:jc w:val="center"/>
              <w:rPr>
                <w:rFonts w:ascii="Times New Roman" w:hAnsi="Times New Roman" w:eastAsia="黑体"/>
                <w:b/>
                <w:color w:val="000000" w:themeColor="text1"/>
                <w:sz w:val="22"/>
                <w14:textFill>
                  <w14:solidFill>
                    <w14:schemeClr w14:val="tx1"/>
                  </w14:solidFill>
                </w14:textFill>
              </w:rPr>
            </w:pPr>
            <w:r>
              <w:rPr>
                <w:rFonts w:ascii="Times New Roman" w:hAnsi="Times New Roman" w:eastAsia="黑体"/>
                <w:b/>
                <w:color w:val="000000" w:themeColor="text1"/>
                <w:sz w:val="22"/>
                <w14:textFill>
                  <w14:solidFill>
                    <w14:schemeClr w14:val="tx1"/>
                  </w14:solidFill>
                </w14:textFill>
              </w:rPr>
              <w:t>信用信息卡号</w:t>
            </w:r>
          </w:p>
        </w:tc>
        <w:tc>
          <w:tcPr>
            <w:tcW w:w="1134" w:type="dxa"/>
            <w:vAlign w:val="center"/>
          </w:tcPr>
          <w:p>
            <w:pPr>
              <w:jc w:val="center"/>
              <w:rPr>
                <w:rFonts w:ascii="Times New Roman" w:hAnsi="Times New Roman" w:eastAsia="黑体"/>
                <w:b/>
                <w:color w:val="000000" w:themeColor="text1"/>
                <w:sz w:val="22"/>
                <w:szCs w:val="21"/>
                <w14:textFill>
                  <w14:solidFill>
                    <w14:schemeClr w14:val="tx1"/>
                  </w14:solidFill>
                </w14:textFill>
              </w:rPr>
            </w:pPr>
            <w:r>
              <w:rPr>
                <w:rFonts w:ascii="Times New Roman" w:hAnsi="Times New Roman" w:eastAsia="黑体"/>
                <w:b/>
                <w:color w:val="000000" w:themeColor="text1"/>
                <w:sz w:val="22"/>
                <w:szCs w:val="21"/>
                <w14:textFill>
                  <w14:solidFill>
                    <w14:schemeClr w14:val="tx1"/>
                  </w14:solidFill>
                </w14:textFill>
              </w:rPr>
              <w:t>信用评分</w:t>
            </w:r>
          </w:p>
        </w:tc>
        <w:tc>
          <w:tcPr>
            <w:tcW w:w="1134" w:type="dxa"/>
            <w:vAlign w:val="center"/>
          </w:tcPr>
          <w:p>
            <w:pPr>
              <w:jc w:val="center"/>
              <w:rPr>
                <w:rFonts w:ascii="Times New Roman" w:hAnsi="Times New Roman" w:eastAsia="黑体"/>
                <w:b/>
                <w:color w:val="000000" w:themeColor="text1"/>
                <w:sz w:val="22"/>
                <w:szCs w:val="21"/>
                <w14:textFill>
                  <w14:solidFill>
                    <w14:schemeClr w14:val="tx1"/>
                  </w14:solidFill>
                </w14:textFill>
              </w:rPr>
            </w:pPr>
            <w:r>
              <w:rPr>
                <w:rFonts w:ascii="Times New Roman" w:hAnsi="Times New Roman" w:eastAsia="黑体"/>
                <w:b/>
                <w:color w:val="000000" w:themeColor="text1"/>
                <w:sz w:val="22"/>
                <w:szCs w:val="21"/>
                <w14:textFill>
                  <w14:solidFill>
                    <w14:schemeClr w14:val="tx1"/>
                  </w14:solidFill>
                </w14:textFill>
              </w:rPr>
              <w:t>信用等级</w:t>
            </w:r>
          </w:p>
        </w:tc>
        <w:tc>
          <w:tcPr>
            <w:tcW w:w="1276" w:type="dxa"/>
            <w:vAlign w:val="center"/>
          </w:tcPr>
          <w:p>
            <w:pPr>
              <w:jc w:val="center"/>
              <w:rPr>
                <w:rFonts w:ascii="Times New Roman" w:hAnsi="Times New Roman" w:eastAsia="黑体"/>
                <w:b/>
                <w:color w:val="000000" w:themeColor="text1"/>
                <w:sz w:val="22"/>
                <w14:textFill>
                  <w14:solidFill>
                    <w14:schemeClr w14:val="tx1"/>
                  </w14:solidFill>
                </w14:textFill>
              </w:rPr>
            </w:pPr>
            <w:r>
              <w:rPr>
                <w:rFonts w:ascii="Times New Roman" w:hAnsi="Times New Roman" w:eastAsia="黑体"/>
                <w:b/>
                <w:color w:val="000000" w:themeColor="text1"/>
                <w:sz w:val="22"/>
                <w14:textFill>
                  <w14:solidFill>
                    <w14:schemeClr w14:val="tx1"/>
                  </w14:solidFill>
                </w14:textFill>
              </w:rPr>
              <w:t>从业年限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w:t>
            </w:r>
          </w:p>
        </w:tc>
        <w:tc>
          <w:tcPr>
            <w:tcW w:w="992" w:type="dxa"/>
            <w:vAlign w:val="center"/>
          </w:tcPr>
          <w:p>
            <w:pPr>
              <w:jc w:val="center"/>
              <w:rPr>
                <w:rFonts w:ascii="Times New Roman" w:hAnsi="Times New Roman" w:eastAsia="仿宋"/>
                <w:sz w:val="24"/>
                <w:szCs w:val="24"/>
              </w:rPr>
            </w:pPr>
            <w:r>
              <w:rPr>
                <w:rFonts w:ascii="Times New Roman" w:hAnsi="Times New Roman" w:eastAsia="仿宋"/>
                <w:sz w:val="24"/>
                <w:szCs w:val="24"/>
              </w:rPr>
              <w:t>黄*波</w:t>
            </w:r>
          </w:p>
        </w:tc>
        <w:tc>
          <w:tcPr>
            <w:tcW w:w="709" w:type="dxa"/>
            <w:vAlign w:val="center"/>
          </w:tcPr>
          <w:p>
            <w:pPr>
              <w:jc w:val="center"/>
              <w:rPr>
                <w:rFonts w:ascii="Times New Roman" w:hAnsi="Times New Roman" w:eastAsia="仿宋"/>
                <w:sz w:val="24"/>
                <w:szCs w:val="24"/>
              </w:rPr>
            </w:pPr>
            <w:r>
              <w:rPr>
                <w:rFonts w:ascii="Times New Roman" w:hAnsi="Times New Roman" w:eastAsia="仿宋"/>
                <w:sz w:val="24"/>
                <w:szCs w:val="24"/>
              </w:rPr>
              <w:t>男</w:t>
            </w:r>
          </w:p>
        </w:tc>
        <w:tc>
          <w:tcPr>
            <w:tcW w:w="2436" w:type="dxa"/>
            <w:vAlign w:val="center"/>
          </w:tcPr>
          <w:p>
            <w:pPr>
              <w:jc w:val="center"/>
              <w:rPr>
                <w:rFonts w:ascii="Times New Roman" w:hAnsi="Times New Roman" w:eastAsia="仿宋"/>
                <w:sz w:val="24"/>
                <w:szCs w:val="24"/>
              </w:rPr>
            </w:pPr>
            <w:r>
              <w:rPr>
                <w:rFonts w:ascii="Times New Roman" w:hAnsi="Times New Roman" w:eastAsia="仿宋"/>
                <w:sz w:val="24"/>
                <w:szCs w:val="24"/>
              </w:rPr>
              <w:t>GZ2018006289</w:t>
            </w:r>
          </w:p>
        </w:tc>
        <w:tc>
          <w:tcPr>
            <w:tcW w:w="1134" w:type="dxa"/>
            <w:vAlign w:val="center"/>
          </w:tcPr>
          <w:p>
            <w:pPr>
              <w:jc w:val="center"/>
              <w:rPr>
                <w:rFonts w:ascii="Times New Roman" w:hAnsi="Times New Roman" w:eastAsia="仿宋"/>
                <w:sz w:val="24"/>
                <w:szCs w:val="24"/>
              </w:rPr>
            </w:pPr>
            <w:r>
              <w:rPr>
                <w:rFonts w:ascii="Times New Roman" w:hAnsi="Times New Roman" w:eastAsia="仿宋"/>
                <w:sz w:val="24"/>
                <w:szCs w:val="24"/>
              </w:rPr>
              <w:t>67</w:t>
            </w:r>
          </w:p>
        </w:tc>
        <w:tc>
          <w:tcPr>
            <w:tcW w:w="1134" w:type="dxa"/>
            <w:vAlign w:val="center"/>
          </w:tcPr>
          <w:p>
            <w:pPr>
              <w:jc w:val="center"/>
              <w:rPr>
                <w:rFonts w:ascii="Times New Roman" w:hAnsi="Times New Roman" w:eastAsia="仿宋"/>
                <w:sz w:val="24"/>
                <w:szCs w:val="24"/>
              </w:rPr>
            </w:pPr>
            <w:r>
              <w:rPr>
                <w:rFonts w:ascii="Times New Roman" w:hAnsi="Times New Roman" w:eastAsia="仿宋"/>
                <w:sz w:val="24"/>
                <w:szCs w:val="24"/>
              </w:rPr>
              <w:t>预警</w:t>
            </w:r>
          </w:p>
        </w:tc>
        <w:tc>
          <w:tcPr>
            <w:tcW w:w="1276" w:type="dxa"/>
            <w:vAlign w:val="center"/>
          </w:tcPr>
          <w:p>
            <w:pPr>
              <w:jc w:val="center"/>
              <w:rPr>
                <w:rFonts w:ascii="Times New Roman" w:hAnsi="Times New Roman" w:eastAsia="仿宋"/>
                <w:sz w:val="24"/>
                <w:szCs w:val="24"/>
              </w:rPr>
            </w:pPr>
            <w:r>
              <w:rPr>
                <w:rFonts w:ascii="Times New Roman" w:hAnsi="Times New Roman" w:eastAsia="仿宋"/>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w:t>
            </w:r>
          </w:p>
        </w:tc>
        <w:tc>
          <w:tcPr>
            <w:tcW w:w="992" w:type="dxa"/>
            <w:vAlign w:val="center"/>
          </w:tcPr>
          <w:p>
            <w:pPr>
              <w:jc w:val="center"/>
              <w:rPr>
                <w:rFonts w:ascii="Times New Roman" w:hAnsi="Times New Roman" w:eastAsia="仿宋"/>
                <w:sz w:val="24"/>
                <w:szCs w:val="24"/>
              </w:rPr>
            </w:pPr>
            <w:r>
              <w:rPr>
                <w:rFonts w:ascii="Times New Roman" w:hAnsi="Times New Roman" w:eastAsia="仿宋"/>
                <w:sz w:val="24"/>
                <w:szCs w:val="24"/>
              </w:rPr>
              <w:t>杨*权</w:t>
            </w:r>
          </w:p>
        </w:tc>
        <w:tc>
          <w:tcPr>
            <w:tcW w:w="709" w:type="dxa"/>
            <w:vAlign w:val="center"/>
          </w:tcPr>
          <w:p>
            <w:pPr>
              <w:jc w:val="center"/>
              <w:rPr>
                <w:rFonts w:ascii="Times New Roman" w:hAnsi="Times New Roman" w:eastAsia="仿宋"/>
                <w:sz w:val="24"/>
                <w:szCs w:val="24"/>
              </w:rPr>
            </w:pPr>
            <w:r>
              <w:rPr>
                <w:rFonts w:ascii="Times New Roman" w:hAnsi="Times New Roman" w:eastAsia="仿宋"/>
                <w:sz w:val="24"/>
                <w:szCs w:val="24"/>
              </w:rPr>
              <w:t>男</w:t>
            </w:r>
          </w:p>
        </w:tc>
        <w:tc>
          <w:tcPr>
            <w:tcW w:w="2436" w:type="dxa"/>
            <w:vAlign w:val="center"/>
          </w:tcPr>
          <w:p>
            <w:pPr>
              <w:jc w:val="center"/>
              <w:rPr>
                <w:rFonts w:ascii="Times New Roman" w:hAnsi="Times New Roman" w:eastAsia="仿宋"/>
                <w:sz w:val="24"/>
                <w:szCs w:val="24"/>
              </w:rPr>
            </w:pPr>
            <w:r>
              <w:rPr>
                <w:rFonts w:ascii="Times New Roman" w:hAnsi="Times New Roman" w:eastAsia="仿宋"/>
                <w:sz w:val="24"/>
                <w:szCs w:val="24"/>
              </w:rPr>
              <w:t>GZ2018012339</w:t>
            </w:r>
          </w:p>
        </w:tc>
        <w:tc>
          <w:tcPr>
            <w:tcW w:w="1134" w:type="dxa"/>
            <w:vAlign w:val="center"/>
          </w:tcPr>
          <w:p>
            <w:pPr>
              <w:jc w:val="center"/>
              <w:rPr>
                <w:rFonts w:ascii="Times New Roman" w:hAnsi="Times New Roman" w:eastAsia="仿宋"/>
                <w:sz w:val="24"/>
                <w:szCs w:val="24"/>
              </w:rPr>
            </w:pPr>
            <w:r>
              <w:rPr>
                <w:rFonts w:ascii="Times New Roman" w:hAnsi="Times New Roman" w:eastAsia="仿宋"/>
                <w:sz w:val="24"/>
                <w:szCs w:val="24"/>
              </w:rPr>
              <w:t>67</w:t>
            </w:r>
          </w:p>
        </w:tc>
        <w:tc>
          <w:tcPr>
            <w:tcW w:w="1134" w:type="dxa"/>
            <w:vAlign w:val="center"/>
          </w:tcPr>
          <w:p>
            <w:pPr>
              <w:jc w:val="center"/>
              <w:rPr>
                <w:rFonts w:ascii="Times New Roman" w:hAnsi="Times New Roman" w:eastAsia="仿宋"/>
                <w:sz w:val="24"/>
                <w:szCs w:val="24"/>
              </w:rPr>
            </w:pPr>
            <w:r>
              <w:rPr>
                <w:rFonts w:ascii="Times New Roman" w:hAnsi="Times New Roman" w:eastAsia="仿宋"/>
                <w:sz w:val="24"/>
                <w:szCs w:val="24"/>
              </w:rPr>
              <w:t>预警</w:t>
            </w:r>
          </w:p>
        </w:tc>
        <w:tc>
          <w:tcPr>
            <w:tcW w:w="1276" w:type="dxa"/>
            <w:vAlign w:val="center"/>
          </w:tcPr>
          <w:p>
            <w:pPr>
              <w:jc w:val="center"/>
              <w:rPr>
                <w:rFonts w:ascii="Times New Roman" w:hAnsi="Times New Roman" w:eastAsia="仿宋"/>
                <w:sz w:val="24"/>
                <w:szCs w:val="24"/>
              </w:rPr>
            </w:pPr>
            <w:r>
              <w:rPr>
                <w:rFonts w:ascii="Times New Roman" w:hAnsi="Times New Roman" w:eastAsia="仿宋"/>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3</w:t>
            </w:r>
          </w:p>
        </w:tc>
        <w:tc>
          <w:tcPr>
            <w:tcW w:w="992" w:type="dxa"/>
            <w:vAlign w:val="center"/>
          </w:tcPr>
          <w:p>
            <w:pPr>
              <w:jc w:val="center"/>
              <w:rPr>
                <w:rFonts w:ascii="Times New Roman" w:hAnsi="Times New Roman" w:eastAsia="仿宋"/>
                <w:sz w:val="24"/>
                <w:szCs w:val="24"/>
              </w:rPr>
            </w:pPr>
            <w:r>
              <w:rPr>
                <w:rFonts w:ascii="Times New Roman" w:hAnsi="Times New Roman" w:eastAsia="仿宋"/>
                <w:sz w:val="24"/>
                <w:szCs w:val="24"/>
              </w:rPr>
              <w:t>游*明</w:t>
            </w:r>
          </w:p>
        </w:tc>
        <w:tc>
          <w:tcPr>
            <w:tcW w:w="709" w:type="dxa"/>
            <w:vAlign w:val="center"/>
          </w:tcPr>
          <w:p>
            <w:pPr>
              <w:jc w:val="center"/>
              <w:rPr>
                <w:rFonts w:ascii="Times New Roman" w:hAnsi="Times New Roman" w:eastAsia="仿宋"/>
                <w:sz w:val="24"/>
                <w:szCs w:val="24"/>
              </w:rPr>
            </w:pPr>
            <w:r>
              <w:rPr>
                <w:rFonts w:ascii="Times New Roman" w:hAnsi="Times New Roman" w:eastAsia="仿宋"/>
                <w:sz w:val="24"/>
                <w:szCs w:val="24"/>
              </w:rPr>
              <w:t>男</w:t>
            </w:r>
          </w:p>
        </w:tc>
        <w:tc>
          <w:tcPr>
            <w:tcW w:w="2436" w:type="dxa"/>
            <w:vAlign w:val="center"/>
          </w:tcPr>
          <w:p>
            <w:pPr>
              <w:jc w:val="center"/>
              <w:rPr>
                <w:rFonts w:ascii="Times New Roman" w:hAnsi="Times New Roman" w:eastAsia="仿宋"/>
                <w:sz w:val="24"/>
                <w:szCs w:val="24"/>
              </w:rPr>
            </w:pPr>
            <w:r>
              <w:rPr>
                <w:rFonts w:ascii="Times New Roman" w:hAnsi="Times New Roman" w:eastAsia="仿宋"/>
                <w:sz w:val="24"/>
                <w:szCs w:val="24"/>
              </w:rPr>
              <w:t>GZ2018006087</w:t>
            </w:r>
          </w:p>
        </w:tc>
        <w:tc>
          <w:tcPr>
            <w:tcW w:w="1134" w:type="dxa"/>
            <w:vAlign w:val="center"/>
          </w:tcPr>
          <w:p>
            <w:pPr>
              <w:jc w:val="center"/>
              <w:rPr>
                <w:rFonts w:ascii="Times New Roman" w:hAnsi="Times New Roman" w:eastAsia="仿宋"/>
                <w:sz w:val="24"/>
                <w:szCs w:val="24"/>
              </w:rPr>
            </w:pPr>
            <w:r>
              <w:rPr>
                <w:rFonts w:ascii="Times New Roman" w:hAnsi="Times New Roman" w:eastAsia="仿宋"/>
                <w:sz w:val="24"/>
                <w:szCs w:val="24"/>
              </w:rPr>
              <w:t>65</w:t>
            </w:r>
          </w:p>
        </w:tc>
        <w:tc>
          <w:tcPr>
            <w:tcW w:w="1134" w:type="dxa"/>
            <w:vAlign w:val="center"/>
          </w:tcPr>
          <w:p>
            <w:pPr>
              <w:jc w:val="center"/>
              <w:rPr>
                <w:rFonts w:ascii="Times New Roman" w:hAnsi="Times New Roman" w:eastAsia="仿宋"/>
                <w:sz w:val="24"/>
                <w:szCs w:val="24"/>
              </w:rPr>
            </w:pPr>
            <w:r>
              <w:rPr>
                <w:rFonts w:ascii="Times New Roman" w:hAnsi="Times New Roman" w:eastAsia="仿宋"/>
                <w:sz w:val="24"/>
                <w:szCs w:val="24"/>
              </w:rPr>
              <w:t>预警</w:t>
            </w:r>
          </w:p>
        </w:tc>
        <w:tc>
          <w:tcPr>
            <w:tcW w:w="1276" w:type="dxa"/>
            <w:vAlign w:val="center"/>
          </w:tcPr>
          <w:p>
            <w:pPr>
              <w:jc w:val="center"/>
              <w:rPr>
                <w:rFonts w:ascii="Times New Roman" w:hAnsi="Times New Roman" w:eastAsia="仿宋"/>
                <w:sz w:val="24"/>
                <w:szCs w:val="24"/>
              </w:rPr>
            </w:pPr>
            <w:r>
              <w:rPr>
                <w:rFonts w:ascii="Times New Roman" w:hAnsi="Times New Roman" w:eastAsia="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41" w:type="dxa"/>
            <w:gridSpan w:val="7"/>
            <w:vAlign w:val="center"/>
          </w:tcPr>
          <w:p>
            <w:pPr>
              <w:jc w:val="center"/>
              <w:rPr>
                <w:rFonts w:ascii="Times New Roman" w:hAnsi="Times New Roman" w:eastAsia="仿宋"/>
                <w:color w:val="000000" w:themeColor="text1"/>
                <w:sz w:val="22"/>
                <w14:textFill>
                  <w14:solidFill>
                    <w14:schemeClr w14:val="tx1"/>
                  </w14:solidFill>
                </w14:textFill>
              </w:rPr>
            </w:pPr>
            <w:r>
              <w:rPr>
                <w:rFonts w:ascii="Times New Roman" w:hAnsi="Times New Roman" w:eastAsia="仿宋"/>
                <w:b/>
                <w:color w:val="000000" w:themeColor="text1"/>
                <w:sz w:val="22"/>
                <w14:textFill>
                  <w14:solidFill>
                    <w14:schemeClr w14:val="tx1"/>
                  </w14:solidFill>
                </w14:textFill>
              </w:rPr>
              <w:t>失信等级从业人员名单（共1人）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pPr>
              <w:jc w:val="center"/>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1</w:t>
            </w:r>
          </w:p>
        </w:tc>
        <w:tc>
          <w:tcPr>
            <w:tcW w:w="992" w:type="dxa"/>
            <w:vAlign w:val="center"/>
          </w:tcPr>
          <w:p>
            <w:pPr>
              <w:jc w:val="center"/>
              <w:rPr>
                <w:rFonts w:ascii="Times New Roman" w:hAnsi="Times New Roman" w:eastAsia="仿宋"/>
                <w:sz w:val="24"/>
              </w:rPr>
            </w:pPr>
            <w:r>
              <w:rPr>
                <w:rFonts w:ascii="Times New Roman" w:hAnsi="Times New Roman" w:eastAsia="仿宋"/>
                <w:sz w:val="24"/>
              </w:rPr>
              <w:t>李</w:t>
            </w:r>
            <w:r>
              <w:rPr>
                <w:rFonts w:ascii="Times New Roman" w:hAnsi="Times New Roman" w:eastAsia="仿宋"/>
                <w:sz w:val="22"/>
              </w:rPr>
              <w:t>*</w:t>
            </w:r>
            <w:r>
              <w:rPr>
                <w:rFonts w:ascii="Times New Roman" w:hAnsi="Times New Roman" w:eastAsia="仿宋"/>
                <w:sz w:val="24"/>
              </w:rPr>
              <w:t>生</w:t>
            </w:r>
          </w:p>
        </w:tc>
        <w:tc>
          <w:tcPr>
            <w:tcW w:w="709" w:type="dxa"/>
            <w:vAlign w:val="center"/>
          </w:tcPr>
          <w:p>
            <w:pPr>
              <w:jc w:val="center"/>
              <w:rPr>
                <w:rFonts w:ascii="Times New Roman" w:hAnsi="Times New Roman" w:eastAsia="仿宋"/>
                <w:sz w:val="24"/>
              </w:rPr>
            </w:pPr>
            <w:r>
              <w:rPr>
                <w:rFonts w:ascii="Times New Roman" w:hAnsi="Times New Roman" w:eastAsia="仿宋"/>
                <w:sz w:val="24"/>
              </w:rPr>
              <w:t>男</w:t>
            </w:r>
          </w:p>
        </w:tc>
        <w:tc>
          <w:tcPr>
            <w:tcW w:w="2436" w:type="dxa"/>
            <w:vAlign w:val="center"/>
          </w:tcPr>
          <w:p>
            <w:pPr>
              <w:jc w:val="center"/>
              <w:rPr>
                <w:rFonts w:ascii="Times New Roman" w:hAnsi="Times New Roman" w:eastAsia="仿宋"/>
                <w:sz w:val="24"/>
              </w:rPr>
            </w:pPr>
            <w:r>
              <w:rPr>
                <w:rFonts w:ascii="Times New Roman" w:hAnsi="Times New Roman" w:eastAsia="仿宋"/>
                <w:sz w:val="24"/>
              </w:rPr>
              <w:t>GZ2019041366</w:t>
            </w:r>
          </w:p>
        </w:tc>
        <w:tc>
          <w:tcPr>
            <w:tcW w:w="1134" w:type="dxa"/>
            <w:vAlign w:val="center"/>
          </w:tcPr>
          <w:p>
            <w:pPr>
              <w:jc w:val="center"/>
              <w:rPr>
                <w:rFonts w:ascii="Times New Roman" w:hAnsi="Times New Roman" w:eastAsia="仿宋"/>
                <w:sz w:val="24"/>
              </w:rPr>
            </w:pPr>
            <w:r>
              <w:rPr>
                <w:rFonts w:ascii="Times New Roman" w:hAnsi="Times New Roman" w:eastAsia="仿宋"/>
                <w:sz w:val="24"/>
              </w:rPr>
              <w:t>55</w:t>
            </w:r>
          </w:p>
        </w:tc>
        <w:tc>
          <w:tcPr>
            <w:tcW w:w="1134" w:type="dxa"/>
            <w:vAlign w:val="center"/>
          </w:tcPr>
          <w:p>
            <w:pPr>
              <w:jc w:val="center"/>
              <w:rPr>
                <w:rFonts w:ascii="Times New Roman" w:hAnsi="Times New Roman" w:eastAsia="仿宋"/>
                <w:sz w:val="24"/>
              </w:rPr>
            </w:pPr>
            <w:r>
              <w:rPr>
                <w:rFonts w:ascii="Times New Roman" w:hAnsi="Times New Roman" w:eastAsia="仿宋"/>
                <w:sz w:val="24"/>
              </w:rPr>
              <w:t>失信</w:t>
            </w:r>
          </w:p>
        </w:tc>
        <w:tc>
          <w:tcPr>
            <w:tcW w:w="1276" w:type="dxa"/>
            <w:vAlign w:val="center"/>
          </w:tcPr>
          <w:p>
            <w:pPr>
              <w:jc w:val="center"/>
              <w:rPr>
                <w:rFonts w:ascii="Times New Roman" w:hAnsi="Times New Roman" w:eastAsia="仿宋"/>
                <w:sz w:val="24"/>
              </w:rPr>
            </w:pPr>
            <w:r>
              <w:rPr>
                <w:rFonts w:ascii="Times New Roman" w:hAnsi="Times New Roman" w:eastAsia="仿宋"/>
                <w:sz w:val="24"/>
              </w:rPr>
              <w:t>不满1年</w:t>
            </w:r>
          </w:p>
        </w:tc>
      </w:tr>
    </w:tbl>
    <w:p>
      <w:pPr>
        <w:spacing w:line="360" w:lineRule="auto"/>
        <w:ind w:right="210"/>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15" w:name="_Toc98168320"/>
      <w:bookmarkStart w:id="16" w:name="_Toc129785094"/>
      <w:r>
        <w:rPr>
          <w:rFonts w:ascii="Times New Roman" w:hAnsi="Times New Roman" w:eastAsia="黑体" w:cs="Times New Roman"/>
          <w:bCs w:val="0"/>
          <w:color w:val="000000" w:themeColor="text1"/>
          <w:sz w:val="28"/>
          <w:szCs w:val="28"/>
          <w14:textFill>
            <w14:solidFill>
              <w14:schemeClr w14:val="tx1"/>
            </w14:solidFill>
          </w14:textFill>
        </w:rPr>
        <w:t>（二）市中介协会个人会员情况</w:t>
      </w:r>
      <w:bookmarkEnd w:id="15"/>
      <w:bookmarkEnd w:id="16"/>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有9938名市中介协会个人会员已建立信用档案，其中信用等级为“优质”的共427人，占市中介协会个人会员的4.3%；信用等级为“良好”的共500人，占市中介协会个人会员的5.03%；信用等级为“诚信”与“暂定诚信”的分别有3596人和5415人，分别占市中介协会个人会员的36.18%与54.49%</w:t>
      </w:r>
      <w:r>
        <w:rPr>
          <w:rFonts w:hint="eastAsia" w:ascii="Times New Roman" w:hAnsi="Times New Roman"/>
          <w:color w:val="000000" w:themeColor="text1"/>
          <w:sz w:val="24"/>
          <w14:textFill>
            <w14:solidFill>
              <w14:schemeClr w14:val="tx1"/>
            </w14:solidFill>
          </w14:textFill>
        </w:rPr>
        <w:t>；市中介协会</w:t>
      </w:r>
      <w:r>
        <w:rPr>
          <w:rFonts w:ascii="Times New Roman" w:hAnsi="Times New Roman"/>
          <w:color w:val="000000" w:themeColor="text1"/>
          <w:sz w:val="24"/>
          <w14:textFill>
            <w14:solidFill>
              <w14:schemeClr w14:val="tx1"/>
            </w14:solidFill>
          </w14:textFill>
        </w:rPr>
        <w:t>没有信用等级为“预警”或“失信”的个人会员。</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其余119566名非市中介协会个人会员中，信用等级为“优质”的从业人员共922人，信用等级为“良好”的共1466人，信用等级为“诚信”与“暂定诚信”的分别有74794人和42380人，信用等级为“预警”的有3人，“失信”的有1人。</w:t>
      </w:r>
    </w:p>
    <w:p>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2743200" cy="2188845"/>
            <wp:effectExtent l="0" t="0" r="0" b="0"/>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noChangeArrowheads="true"/>
                    </pic:cNvPicPr>
                  </pic:nvPicPr>
                  <pic:blipFill>
                    <a:blip r:embed="rId42">
                      <a:extLst>
                        <a:ext uri="{28A0092B-C50C-407E-A947-70E740481C1C}">
                          <a14:useLocalDpi xmlns:a14="http://schemas.microsoft.com/office/drawing/2010/main" val="false"/>
                        </a:ext>
                      </a:extLst>
                    </a:blip>
                    <a:srcRect/>
                    <a:stretch>
                      <a:fillRect/>
                    </a:stretch>
                  </pic:blipFill>
                  <pic:spPr>
                    <a:xfrm>
                      <a:off x="0" y="0"/>
                      <a:ext cx="2743200" cy="2188845"/>
                    </a:xfrm>
                    <a:prstGeom prst="rect">
                      <a:avLst/>
                    </a:prstGeom>
                    <a:noFill/>
                  </pic:spPr>
                </pic:pic>
              </a:graphicData>
            </a:graphic>
          </wp:inline>
        </w:drawing>
      </w:r>
      <w:r>
        <w:rPr>
          <w:rFonts w:ascii="Times New Roman" w:hAnsi="Times New Roman" w:eastAsia="等线"/>
          <w:color w:val="FF0000"/>
          <w:sz w:val="24"/>
        </w:rPr>
        <w:drawing>
          <wp:inline distT="0" distB="0" distL="0" distR="0">
            <wp:extent cx="2743200" cy="2188845"/>
            <wp:effectExtent l="0" t="0" r="0" b="0"/>
            <wp:docPr id="37" name="图片 3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true" noChangeArrowheads="true"/>
                    </pic:cNvPicPr>
                  </pic:nvPicPr>
                  <pic:blipFill>
                    <a:blip r:embed="rId43">
                      <a:extLst>
                        <a:ext uri="{28A0092B-C50C-407E-A947-70E740481C1C}">
                          <a14:useLocalDpi xmlns:a14="http://schemas.microsoft.com/office/drawing/2010/main" val="false"/>
                        </a:ext>
                      </a:extLst>
                    </a:blip>
                    <a:srcRect/>
                    <a:stretch>
                      <a:fillRect/>
                    </a:stretch>
                  </pic:blipFill>
                  <pic:spPr>
                    <a:xfrm>
                      <a:off x="0" y="0"/>
                      <a:ext cx="2743200" cy="2188845"/>
                    </a:xfrm>
                    <a:prstGeom prst="rect">
                      <a:avLst/>
                    </a:prstGeom>
                    <a:noFill/>
                  </pic:spPr>
                </pic:pic>
              </a:graphicData>
            </a:graphic>
          </wp:inline>
        </w:drawing>
      </w:r>
    </w:p>
    <w:p>
      <w:pPr>
        <w:spacing w:line="360" w:lineRule="auto"/>
        <w:jc w:val="center"/>
        <w:rPr>
          <w:rFonts w:ascii="Times New Roman" w:hAnsi="Times New Roman"/>
          <w:color w:val="FF0000"/>
          <w:szCs w:val="21"/>
        </w:rPr>
      </w:pPr>
      <w:r>
        <w:rPr>
          <w:rFonts w:ascii="Times New Roman" w:hAnsi="Times New Roman"/>
          <w:color w:val="FF0000"/>
        </w:rPr>
        <w:drawing>
          <wp:inline distT="0" distB="0" distL="0" distR="0">
            <wp:extent cx="2665095" cy="203835"/>
            <wp:effectExtent l="0" t="0" r="1905" b="5715"/>
            <wp:docPr id="22"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true"/>
                    </pic:cNvPicPr>
                  </pic:nvPicPr>
                  <pic:blipFill>
                    <a:blip r:embed="rId44"/>
                    <a:stretch>
                      <a:fillRect/>
                    </a:stretch>
                  </pic:blipFill>
                  <pic:spPr>
                    <a:xfrm>
                      <a:off x="0" y="0"/>
                      <a:ext cx="2672102" cy="204430"/>
                    </a:xfrm>
                    <a:prstGeom prst="rect">
                      <a:avLst/>
                    </a:prstGeom>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图6  市中介协会个人会员（左）与非个人会员（右）信用等级结构</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after="240" w:afterLines="100"/>
        <w:jc w:val="center"/>
        <w:rPr>
          <w:rFonts w:ascii="Times New Roman" w:hAnsi="Times New Roman"/>
          <w:color w:val="000000" w:themeColor="text1"/>
          <w14:textFill>
            <w14:solidFill>
              <w14:schemeClr w14:val="tx1"/>
            </w14:solidFill>
          </w14:textFill>
        </w:rPr>
      </w:pPr>
    </w:p>
    <w:p>
      <w:pPr>
        <w:pStyle w:val="2"/>
        <w:pageBreakBefore/>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17" w:name="_Toc129785095"/>
      <w:bookmarkStart w:id="18" w:name="_Toc98168321"/>
      <w:r>
        <w:rPr>
          <w:rFonts w:ascii="Times New Roman" w:hAnsi="Times New Roman" w:eastAsia="黑体"/>
          <w:bCs w:val="0"/>
          <w:color w:val="000000" w:themeColor="text1"/>
          <w:sz w:val="32"/>
          <w:szCs w:val="24"/>
          <w14:textFill>
            <w14:solidFill>
              <w14:schemeClr w14:val="tx1"/>
            </w14:solidFill>
          </w14:textFill>
        </w:rPr>
        <w:t>六、信用评分评级相关性分析</w:t>
      </w:r>
      <w:bookmarkEnd w:id="17"/>
      <w:bookmarkEnd w:id="18"/>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19" w:name="_Toc129785096"/>
      <w:bookmarkStart w:id="20" w:name="_Toc98168322"/>
      <w:r>
        <w:rPr>
          <w:rFonts w:ascii="Times New Roman" w:hAnsi="Times New Roman" w:eastAsia="黑体" w:cs="Times New Roman"/>
          <w:bCs w:val="0"/>
          <w:color w:val="000000" w:themeColor="text1"/>
          <w:sz w:val="28"/>
          <w:szCs w:val="28"/>
          <w14:textFill>
            <w14:solidFill>
              <w14:schemeClr w14:val="tx1"/>
            </w14:solidFill>
          </w14:textFill>
        </w:rPr>
        <w:t>（一）信用评分与行政处罚</w:t>
      </w:r>
      <w:bookmarkEnd w:id="19"/>
      <w:bookmarkEnd w:id="20"/>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2022年，全市</w:t>
      </w:r>
      <w:r>
        <w:rPr>
          <w:rFonts w:hint="eastAsia" w:ascii="Times New Roman" w:hAnsi="Times New Roman"/>
          <w:color w:val="000000" w:themeColor="text1"/>
          <w:sz w:val="24"/>
          <w14:textFill>
            <w14:solidFill>
              <w14:schemeClr w14:val="tx1"/>
            </w14:solidFill>
          </w14:textFill>
        </w:rPr>
        <w:t>住建系统</w:t>
      </w:r>
      <w:r>
        <w:rPr>
          <w:rFonts w:ascii="Times New Roman" w:hAnsi="Times New Roman"/>
          <w:color w:val="000000" w:themeColor="text1"/>
          <w:sz w:val="24"/>
          <w14:textFill>
            <w14:solidFill>
              <w14:schemeClr w14:val="tx1"/>
            </w14:solidFill>
          </w14:textFill>
        </w:rPr>
        <w:t>对广州市房地产中介行业共计作出10宗行政处罚（具体见附件6），其中行政相对人为从业人员与中介机构的各有5宗。</w:t>
      </w:r>
    </w:p>
    <w:p>
      <w:pPr>
        <w:jc w:val="center"/>
        <w:rPr>
          <w:rFonts w:ascii="Times New Roman" w:hAnsi="Times New Roman"/>
          <w:color w:val="000000" w:themeColor="text1"/>
          <w14:textFill>
            <w14:solidFill>
              <w14:schemeClr w14:val="tx1"/>
            </w14:solidFill>
          </w14:textFill>
        </w:rPr>
      </w:pP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w:t>
      </w:r>
      <w:r>
        <w:rPr>
          <w:rFonts w:hint="eastAsia" w:ascii="Times New Roman" w:hAnsi="Times New Roman"/>
          <w:color w:val="000000" w:themeColor="text1"/>
          <w14:textFill>
            <w14:solidFill>
              <w14:schemeClr w14:val="tx1"/>
            </w14:solidFill>
          </w14:textFill>
        </w:rPr>
        <w:t>6</w:t>
      </w:r>
      <w:r>
        <w:rPr>
          <w:rFonts w:ascii="Times New Roman" w:hAnsi="Times New Roman"/>
          <w:color w:val="000000" w:themeColor="text1"/>
          <w14:textFill>
            <w14:solidFill>
              <w14:schemeClr w14:val="tx1"/>
            </w14:solidFill>
          </w14:textFill>
        </w:rPr>
        <w:t xml:space="preserve">  2022年广州市房地产中介受</w:t>
      </w:r>
      <w:r>
        <w:rPr>
          <w:rFonts w:hint="eastAsia" w:ascii="Times New Roman" w:hAnsi="Times New Roman"/>
          <w:color w:val="000000" w:themeColor="text1"/>
          <w14:textFill>
            <w14:solidFill>
              <w14:schemeClr w14:val="tx1"/>
            </w14:solidFill>
          </w14:textFill>
        </w:rPr>
        <w:t>行政处</w:t>
      </w:r>
      <w:r>
        <w:rPr>
          <w:rFonts w:ascii="Times New Roman" w:hAnsi="Times New Roman"/>
          <w:color w:val="000000" w:themeColor="text1"/>
          <w14:textFill>
            <w14:solidFill>
              <w14:schemeClr w14:val="tx1"/>
            </w14:solidFill>
          </w14:textFill>
        </w:rPr>
        <w:t>罚</w:t>
      </w:r>
      <w:r>
        <w:rPr>
          <w:rFonts w:hint="eastAsia" w:ascii="Times New Roman" w:hAnsi="Times New Roman"/>
          <w:color w:val="000000" w:themeColor="text1"/>
          <w14:textFill>
            <w14:solidFill>
              <w14:schemeClr w14:val="tx1"/>
            </w14:solidFill>
          </w14:textFill>
        </w:rPr>
        <w:t>情况</w:t>
      </w:r>
    </w:p>
    <w:tbl>
      <w:tblPr>
        <w:tblStyle w:val="19"/>
        <w:tblW w:w="92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712"/>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序号</w:t>
            </w:r>
          </w:p>
        </w:tc>
        <w:tc>
          <w:tcPr>
            <w:tcW w:w="7712" w:type="dxa"/>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处罚事由</w:t>
            </w:r>
          </w:p>
        </w:tc>
        <w:tc>
          <w:tcPr>
            <w:tcW w:w="793" w:type="dxa"/>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1</w:t>
            </w:r>
          </w:p>
        </w:tc>
        <w:tc>
          <w:tcPr>
            <w:tcW w:w="7712" w:type="dxa"/>
            <w:vAlign w:val="center"/>
          </w:tcPr>
          <w:p>
            <w:pPr>
              <w:snapToGrid w:val="0"/>
              <w:spacing w:line="276" w:lineRule="auto"/>
              <w:jc w:val="left"/>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未书面告知交易当事人房地产中介机构及其执业人员与当事人是存在利害关系。</w:t>
            </w:r>
          </w:p>
        </w:tc>
        <w:tc>
          <w:tcPr>
            <w:tcW w:w="793"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2</w:t>
            </w:r>
          </w:p>
        </w:tc>
        <w:tc>
          <w:tcPr>
            <w:tcW w:w="7712" w:type="dxa"/>
            <w:vAlign w:val="center"/>
          </w:tcPr>
          <w:p>
            <w:pPr>
              <w:snapToGrid w:val="0"/>
              <w:spacing w:line="276" w:lineRule="auto"/>
              <w:jc w:val="left"/>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为禁止转让和抵押的房地产提供中介服务。</w:t>
            </w:r>
          </w:p>
        </w:tc>
        <w:tc>
          <w:tcPr>
            <w:tcW w:w="793"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3</w:t>
            </w:r>
          </w:p>
        </w:tc>
        <w:tc>
          <w:tcPr>
            <w:tcW w:w="7712" w:type="dxa"/>
            <w:vAlign w:val="center"/>
          </w:tcPr>
          <w:p>
            <w:pPr>
              <w:snapToGrid w:val="0"/>
              <w:spacing w:line="276" w:lineRule="auto"/>
              <w:jc w:val="left"/>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签订房地产经纪服务合同前，未向交易当事人说明和书面告知规定事项。</w:t>
            </w:r>
          </w:p>
        </w:tc>
        <w:tc>
          <w:tcPr>
            <w:tcW w:w="793"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4</w:t>
            </w:r>
          </w:p>
        </w:tc>
        <w:tc>
          <w:tcPr>
            <w:tcW w:w="7712" w:type="dxa"/>
            <w:vAlign w:val="center"/>
          </w:tcPr>
          <w:p>
            <w:pPr>
              <w:snapToGrid w:val="0"/>
              <w:spacing w:line="276" w:lineRule="auto"/>
              <w:jc w:val="left"/>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为交易当事人规避房屋交易税费等非法目的，就同一房屋签订不同交易价款的合同提供便利。</w:t>
            </w:r>
          </w:p>
        </w:tc>
        <w:tc>
          <w:tcPr>
            <w:tcW w:w="793"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5</w:t>
            </w:r>
          </w:p>
        </w:tc>
        <w:tc>
          <w:tcPr>
            <w:tcW w:w="7712" w:type="dxa"/>
            <w:vAlign w:val="center"/>
          </w:tcPr>
          <w:p>
            <w:pPr>
              <w:snapToGrid w:val="0"/>
              <w:spacing w:line="276" w:lineRule="auto"/>
              <w:jc w:val="left"/>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向服务对象提供房地产中介服务时不书面向服务对象说明情况。</w:t>
            </w:r>
          </w:p>
        </w:tc>
        <w:tc>
          <w:tcPr>
            <w:tcW w:w="793"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6</w:t>
            </w:r>
          </w:p>
        </w:tc>
        <w:tc>
          <w:tcPr>
            <w:tcW w:w="7712" w:type="dxa"/>
            <w:vAlign w:val="center"/>
          </w:tcPr>
          <w:p>
            <w:pPr>
              <w:snapToGrid w:val="0"/>
              <w:spacing w:line="276" w:lineRule="auto"/>
              <w:jc w:val="left"/>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为不符合交易条件的保障性住房和禁止交易的房屋提供经纪服务。</w:t>
            </w:r>
          </w:p>
        </w:tc>
        <w:tc>
          <w:tcPr>
            <w:tcW w:w="793" w:type="dxa"/>
            <w:vAlign w:val="center"/>
          </w:tcPr>
          <w:p>
            <w:pPr>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sz w:val="24"/>
                <w:szCs w:val="24"/>
              </w:rPr>
              <w:t>1</w:t>
            </w:r>
          </w:p>
        </w:tc>
      </w:tr>
    </w:tbl>
    <w:p>
      <w:pPr>
        <w:spacing w:line="276" w:lineRule="auto"/>
        <w:ind w:right="360"/>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w:t>
      </w:r>
      <w:r>
        <w:rPr>
          <w:rFonts w:hint="eastAsia" w:ascii="Times New Roman" w:hAnsi="Times New Roman"/>
          <w:color w:val="000000" w:themeColor="text1"/>
          <w:szCs w:val="21"/>
          <w14:textFill>
            <w14:solidFill>
              <w14:schemeClr w14:val="tx1"/>
            </w14:solidFill>
          </w14:textFill>
        </w:rPr>
        <w:t>广州</w:t>
      </w:r>
      <w:r>
        <w:rPr>
          <w:rFonts w:ascii="Times New Roman" w:hAnsi="Times New Roman"/>
          <w:color w:val="000000" w:themeColor="text1"/>
          <w:szCs w:val="21"/>
          <w14:textFill>
            <w14:solidFill>
              <w14:schemeClr w14:val="tx1"/>
            </w14:solidFill>
          </w14:textFill>
        </w:rPr>
        <w:t>市</w:t>
      </w:r>
      <w:r>
        <w:rPr>
          <w:rFonts w:hint="eastAsia" w:ascii="Times New Roman" w:hAnsi="Times New Roman"/>
          <w:color w:val="000000" w:themeColor="text1"/>
          <w:szCs w:val="21"/>
          <w14:textFill>
            <w14:solidFill>
              <w14:schemeClr w14:val="tx1"/>
            </w14:solidFill>
          </w14:textFill>
        </w:rPr>
        <w:t>住房和城乡建设局</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此外，在10宗处罚记录中，行政相对人为市中介协会会员单位或个人会员的共计3宗，占比30%。</w:t>
      </w:r>
    </w:p>
    <w:p>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2891155" cy="2306955"/>
            <wp:effectExtent l="0" t="0" r="0" b="0"/>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noChangeArrowheads="true"/>
                    </pic:cNvPicPr>
                  </pic:nvPicPr>
                  <pic:blipFill>
                    <a:blip r:embed="rId45">
                      <a:extLst>
                        <a:ext uri="{28A0092B-C50C-407E-A947-70E740481C1C}">
                          <a14:useLocalDpi xmlns:a14="http://schemas.microsoft.com/office/drawing/2010/main" val="false"/>
                        </a:ext>
                      </a:extLst>
                    </a:blip>
                    <a:srcRect/>
                    <a:stretch>
                      <a:fillRect/>
                    </a:stretch>
                  </pic:blipFill>
                  <pic:spPr>
                    <a:xfrm>
                      <a:off x="0" y="0"/>
                      <a:ext cx="2891222" cy="2306956"/>
                    </a:xfrm>
                    <a:prstGeom prst="rect">
                      <a:avLst/>
                    </a:prstGeom>
                    <a:noFill/>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图7 2022年广州市房地产中介受行政处罚及行政处理的市中介协会会员与非会员</w:t>
      </w:r>
      <w:r>
        <w:rPr>
          <w:rFonts w:hint="eastAsia" w:ascii="Times New Roman" w:hAnsi="Times New Roman"/>
          <w:color w:val="000000" w:themeColor="text1"/>
          <w14:textFill>
            <w14:solidFill>
              <w14:schemeClr w14:val="tx1"/>
            </w14:solidFill>
          </w14:textFill>
        </w:rPr>
        <w:t>占比</w:t>
      </w:r>
    </w:p>
    <w:p>
      <w:pPr>
        <w:jc w:val="right"/>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数据来源：广州市房地产中介协会</w:t>
      </w:r>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21" w:name="_Toc129785097"/>
      <w:bookmarkStart w:id="22" w:name="_Toc98168323"/>
      <w:r>
        <w:rPr>
          <w:rFonts w:ascii="Times New Roman" w:hAnsi="Times New Roman" w:eastAsia="黑体" w:cs="Times New Roman"/>
          <w:bCs w:val="0"/>
          <w:color w:val="000000" w:themeColor="text1"/>
          <w:sz w:val="28"/>
          <w:szCs w:val="28"/>
          <w14:textFill>
            <w14:solidFill>
              <w14:schemeClr w14:val="tx1"/>
            </w14:solidFill>
          </w14:textFill>
        </w:rPr>
        <w:t>（二）信用等级与从业人员性别</w:t>
      </w:r>
      <w:bookmarkEnd w:id="21"/>
      <w:bookmarkEnd w:id="22"/>
    </w:p>
    <w:p>
      <w:pPr>
        <w:spacing w:line="360" w:lineRule="auto"/>
        <w:ind w:firstLine="480" w:firstLineChars="200"/>
        <w:rPr>
          <w:rFonts w:ascii="Times New Roman" w:hAnsi="Times New Roman"/>
          <w:color w:val="FF0000"/>
          <w:sz w:val="24"/>
        </w:rPr>
      </w:pPr>
      <w:r>
        <w:rPr>
          <w:rFonts w:ascii="Times New Roman" w:hAnsi="Times New Roman"/>
          <w:color w:val="000000" w:themeColor="text1"/>
          <w:sz w:val="24"/>
          <w14:textFill>
            <w14:solidFill>
              <w14:schemeClr w14:val="tx1"/>
            </w14:solidFill>
          </w14:textFill>
        </w:rPr>
        <w:t>全市已建立信用档案的129504</w:t>
      </w:r>
      <w:r>
        <w:rPr>
          <w:rFonts w:ascii="Times New Roman" w:hAnsi="Times New Roman"/>
          <w:color w:val="000000" w:themeColor="text1"/>
          <w:sz w:val="24"/>
          <w:szCs w:val="24"/>
          <w:lang w:val="zh-TW" w:eastAsia="zh-TW"/>
          <w14:textFill>
            <w14:solidFill>
              <w14:schemeClr w14:val="tx1"/>
            </w14:solidFill>
          </w14:textFill>
        </w:rPr>
        <w:t>名</w:t>
      </w:r>
      <w:r>
        <w:rPr>
          <w:rFonts w:ascii="Times New Roman" w:hAnsi="Times New Roman"/>
          <w:color w:val="000000" w:themeColor="text1"/>
          <w:sz w:val="24"/>
          <w14:textFill>
            <w14:solidFill>
              <w14:schemeClr w14:val="tx1"/>
            </w14:solidFill>
          </w14:textFill>
        </w:rPr>
        <w:t>从业人员中，男性与女性分别有79788人和49716人，所占比例分别为61.61%与38.39%，与过去4年相比无明显变化。信用等级为“优质”与“良好”的比例中，女性从业人员均要高于男性从业人员，且无女性从业人员的信用等级为“预警”或“失信”。</w:t>
      </w:r>
    </w:p>
    <w:p>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2743200" cy="2188845"/>
            <wp:effectExtent l="0" t="0" r="0" b="0"/>
            <wp:docPr id="34"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true" noChangeArrowheads="true"/>
                    </pic:cNvPicPr>
                  </pic:nvPicPr>
                  <pic:blipFill>
                    <a:blip r:embed="rId46">
                      <a:extLst>
                        <a:ext uri="{28A0092B-C50C-407E-A947-70E740481C1C}">
                          <a14:useLocalDpi xmlns:a14="http://schemas.microsoft.com/office/drawing/2010/main" val="false"/>
                        </a:ext>
                      </a:extLst>
                    </a:blip>
                    <a:srcRect/>
                    <a:stretch>
                      <a:fillRect/>
                    </a:stretch>
                  </pic:blipFill>
                  <pic:spPr>
                    <a:xfrm>
                      <a:off x="0" y="0"/>
                      <a:ext cx="2743200" cy="2188845"/>
                    </a:xfrm>
                    <a:prstGeom prst="rect">
                      <a:avLst/>
                    </a:prstGeom>
                    <a:noFill/>
                  </pic:spPr>
                </pic:pic>
              </a:graphicData>
            </a:graphic>
          </wp:inline>
        </w:drawing>
      </w:r>
      <w:r>
        <w:rPr>
          <w:rFonts w:ascii="Times New Roman" w:hAnsi="Times New Roman" w:eastAsia="等线"/>
          <w:color w:val="FF0000"/>
          <w:sz w:val="24"/>
        </w:rPr>
        <w:drawing>
          <wp:inline distT="0" distB="0" distL="0" distR="0">
            <wp:extent cx="2743200" cy="2188845"/>
            <wp:effectExtent l="0" t="0" r="0" b="0"/>
            <wp:docPr id="33"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true" noChangeArrowheads="true"/>
                    </pic:cNvPicPr>
                  </pic:nvPicPr>
                  <pic:blipFill>
                    <a:blip r:embed="rId47">
                      <a:extLst>
                        <a:ext uri="{28A0092B-C50C-407E-A947-70E740481C1C}">
                          <a14:useLocalDpi xmlns:a14="http://schemas.microsoft.com/office/drawing/2010/main" val="false"/>
                        </a:ext>
                      </a:extLst>
                    </a:blip>
                    <a:srcRect/>
                    <a:stretch>
                      <a:fillRect/>
                    </a:stretch>
                  </pic:blipFill>
                  <pic:spPr>
                    <a:xfrm>
                      <a:off x="0" y="0"/>
                      <a:ext cx="2743200" cy="2188845"/>
                    </a:xfrm>
                    <a:prstGeom prst="rect">
                      <a:avLst/>
                    </a:prstGeom>
                    <a:noFill/>
                  </pic:spPr>
                </pic:pic>
              </a:graphicData>
            </a:graphic>
          </wp:inline>
        </w:drawing>
      </w:r>
    </w:p>
    <w:p>
      <w:pPr>
        <w:pStyle w:val="26"/>
        <w:jc w:val="center"/>
        <w:rPr>
          <w:rFonts w:hint="default"/>
          <w:color w:val="FF0000"/>
        </w:rPr>
      </w:pPr>
      <w:r>
        <w:rPr>
          <w:rFonts w:hint="default"/>
          <w:color w:val="FF0000"/>
        </w:rPr>
        <w:drawing>
          <wp:inline distT="0" distB="0" distL="0" distR="0">
            <wp:extent cx="2665095" cy="203835"/>
            <wp:effectExtent l="0" t="0" r="1905" b="5715"/>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44"/>
                    <a:stretch>
                      <a:fillRect/>
                    </a:stretch>
                  </pic:blipFill>
                  <pic:spPr>
                    <a:xfrm>
                      <a:off x="0" y="0"/>
                      <a:ext cx="2672102" cy="204430"/>
                    </a:xfrm>
                    <a:prstGeom prst="rect">
                      <a:avLst/>
                    </a:prstGeom>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图8  信用等级与从业人员性别</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23" w:name="_Toc129785098"/>
      <w:bookmarkStart w:id="24" w:name="_Toc98168324"/>
      <w:r>
        <w:rPr>
          <w:rFonts w:ascii="Times New Roman" w:hAnsi="Times New Roman" w:eastAsia="黑体" w:cs="Times New Roman"/>
          <w:bCs w:val="0"/>
          <w:color w:val="000000" w:themeColor="text1"/>
          <w:sz w:val="28"/>
          <w:szCs w:val="28"/>
          <w14:textFill>
            <w14:solidFill>
              <w14:schemeClr w14:val="tx1"/>
            </w14:solidFill>
          </w14:textFill>
        </w:rPr>
        <w:t>（三）信用等级与从业人员年龄</w:t>
      </w:r>
      <w:bookmarkEnd w:id="23"/>
      <w:bookmarkEnd w:id="24"/>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w:t>
      </w:r>
      <w:r>
        <w:rPr>
          <w:rFonts w:hint="eastAsia" w:ascii="Times New Roman" w:hAnsi="Times New Roman"/>
          <w:color w:val="000000" w:themeColor="text1"/>
          <w:sz w:val="24"/>
          <w14:textFill>
            <w14:solidFill>
              <w14:schemeClr w14:val="tx1"/>
            </w14:solidFill>
          </w14:textFill>
        </w:rPr>
        <w:t>2</w:t>
      </w:r>
      <w:r>
        <w:rPr>
          <w:rFonts w:ascii="Times New Roman" w:hAnsi="Times New Roman"/>
          <w:color w:val="000000" w:themeColor="text1"/>
          <w:sz w:val="24"/>
          <w14:textFill>
            <w14:solidFill>
              <w14:schemeClr w14:val="tx1"/>
            </w14:solidFill>
          </w14:textFill>
        </w:rPr>
        <w:t>年全市已建立信用档案的从业人员平均年龄为34.5岁，同比2021年增加1.1岁，在职状态从业人员平均年龄为34.2岁，同比2021年增加1.6岁。在所有建立信用档案的从业人员中，30-35岁（含30岁）区间的比例最大，有23.64%；有21.61%的从业人员年龄在25-30岁（含25岁）之间；20岁以下的比例最小，仅为0.84%。</w:t>
      </w:r>
    </w:p>
    <w:p>
      <w:pPr>
        <w:pStyle w:val="26"/>
        <w:ind w:firstLine="0"/>
        <w:rPr>
          <w:rFonts w:hint="default"/>
        </w:rPr>
      </w:pPr>
      <w:r>
        <w:rPr>
          <w:rFonts w:hint="default"/>
        </w:rPr>
        <w:drawing>
          <wp:inline distT="0" distB="0" distL="0" distR="0">
            <wp:extent cx="5784850" cy="2869565"/>
            <wp:effectExtent l="0" t="0" r="6350" b="6985"/>
            <wp:docPr id="39" name="图片 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true" noChangeArrowheads="true"/>
                    </pic:cNvPicPr>
                  </pic:nvPicPr>
                  <pic:blipFill>
                    <a:blip r:embed="rId48">
                      <a:extLst>
                        <a:ext uri="{28A0092B-C50C-407E-A947-70E740481C1C}">
                          <a14:useLocalDpi xmlns:a14="http://schemas.microsoft.com/office/drawing/2010/main" val="false"/>
                        </a:ext>
                      </a:extLst>
                    </a:blip>
                    <a:srcRect/>
                    <a:stretch>
                      <a:fillRect/>
                    </a:stretch>
                  </pic:blipFill>
                  <pic:spPr>
                    <a:xfrm>
                      <a:off x="0" y="0"/>
                      <a:ext cx="5797975" cy="2876384"/>
                    </a:xfrm>
                    <a:prstGeom prst="rect">
                      <a:avLst/>
                    </a:prstGeom>
                    <a:noFill/>
                  </pic:spPr>
                </pic:pic>
              </a:graphicData>
            </a:graphic>
          </wp:inline>
        </w:drawing>
      </w:r>
    </w:p>
    <w:p>
      <w:pPr>
        <w:jc w:val="center"/>
        <w:rPr>
          <w:rFonts w:ascii="Times New Roman" w:hAnsi="Times New Roman"/>
          <w:color w:val="FF0000"/>
        </w:rPr>
      </w:pPr>
      <w:r>
        <w:rPr>
          <w:rFonts w:ascii="Times New Roman" w:hAnsi="Times New Roman"/>
          <w:color w:val="FF0000"/>
        </w:rPr>
        <w:drawing>
          <wp:inline distT="0" distB="0" distL="0" distR="0">
            <wp:extent cx="2762885" cy="210820"/>
            <wp:effectExtent l="0" t="0" r="0" b="0"/>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44"/>
                    <a:stretch>
                      <a:fillRect/>
                    </a:stretch>
                  </pic:blipFill>
                  <pic:spPr>
                    <a:xfrm>
                      <a:off x="0" y="0"/>
                      <a:ext cx="2880125" cy="220345"/>
                    </a:xfrm>
                    <a:prstGeom prst="rect">
                      <a:avLst/>
                    </a:prstGeom>
                  </pic:spPr>
                </pic:pic>
              </a:graphicData>
            </a:graphic>
          </wp:inline>
        </w:drawing>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图9  信用等级与从业人员年龄</w:t>
      </w:r>
    </w:p>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从图9可以看出，随着从业人员年龄的增长，信用等级优化的趋势愈加明显。年龄在35岁以下的从业人员信用等级普遍以“暂定诚信”或“诚信”为主；而35岁以上的从业人员中信用等级为“良好”或“优质”的所占比例逐渐提升，其中40-45岁（含40岁）年龄区间中所占比例超过5%，45-50岁（含45岁）年龄区间中所占比例近8%，50岁以上（含50岁）年龄区间所占比例更是接近10%。</w:t>
      </w:r>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25" w:name="_Toc129785099"/>
      <w:r>
        <w:rPr>
          <w:rFonts w:ascii="Times New Roman" w:hAnsi="Times New Roman" w:eastAsia="黑体" w:cs="Times New Roman"/>
          <w:bCs w:val="0"/>
          <w:color w:val="000000" w:themeColor="text1"/>
          <w:sz w:val="28"/>
          <w:szCs w:val="28"/>
          <w14:textFill>
            <w14:solidFill>
              <w14:schemeClr w14:val="tx1"/>
            </w14:solidFill>
          </w14:textFill>
        </w:rPr>
        <w:t>（四）机构信用等级与从业人员信用等级</w:t>
      </w:r>
      <w:bookmarkEnd w:id="25"/>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在信用等级为“优质”“良好”的</w:t>
      </w:r>
      <w:r>
        <w:rPr>
          <w:rFonts w:hint="eastAsia" w:ascii="Times New Roman" w:hAnsi="Times New Roman"/>
          <w:color w:val="000000" w:themeColor="text1"/>
          <w:sz w:val="24"/>
          <w14:textFill>
            <w14:solidFill>
              <w14:schemeClr w14:val="tx1"/>
            </w14:solidFill>
          </w14:textFill>
        </w:rPr>
        <w:t>中介机构</w:t>
      </w:r>
      <w:r>
        <w:rPr>
          <w:rFonts w:ascii="Times New Roman" w:hAnsi="Times New Roman"/>
          <w:color w:val="000000" w:themeColor="text1"/>
          <w:sz w:val="24"/>
          <w14:textFill>
            <w14:solidFill>
              <w14:schemeClr w14:val="tx1"/>
            </w14:solidFill>
          </w14:textFill>
        </w:rPr>
        <w:t>中，合富</w:t>
      </w:r>
      <w:r>
        <w:rPr>
          <w:rFonts w:hint="eastAsia" w:ascii="Times New Roman" w:hAnsi="Times New Roman"/>
          <w:color w:val="000000" w:themeColor="text1"/>
          <w:sz w:val="24"/>
          <w14:textFill>
            <w14:solidFill>
              <w14:schemeClr w14:val="tx1"/>
            </w14:solidFill>
          </w14:textFill>
        </w:rPr>
        <w:t>置业</w:t>
      </w:r>
      <w:r>
        <w:rPr>
          <w:rFonts w:ascii="Times New Roman" w:hAnsi="Times New Roman"/>
          <w:color w:val="000000" w:themeColor="text1"/>
          <w:sz w:val="24"/>
          <w14:textFill>
            <w14:solidFill>
              <w14:schemeClr w14:val="tx1"/>
            </w14:solidFill>
          </w14:textFill>
        </w:rPr>
        <w:t>拥有信用等级为“优质”及“良好”的从业人员最多，共有140名，中原</w:t>
      </w:r>
      <w:r>
        <w:rPr>
          <w:rFonts w:hint="eastAsia" w:ascii="Times New Roman" w:hAnsi="Times New Roman"/>
          <w:color w:val="000000" w:themeColor="text1"/>
          <w:sz w:val="24"/>
          <w14:textFill>
            <w14:solidFill>
              <w14:schemeClr w14:val="tx1"/>
            </w14:solidFill>
          </w14:textFill>
        </w:rPr>
        <w:t>地产</w:t>
      </w:r>
      <w:r>
        <w:rPr>
          <w:rFonts w:ascii="Times New Roman" w:hAnsi="Times New Roman"/>
          <w:color w:val="000000" w:themeColor="text1"/>
          <w:sz w:val="24"/>
          <w14:textFill>
            <w14:solidFill>
              <w14:schemeClr w14:val="tx1"/>
            </w14:solidFill>
          </w14:textFill>
        </w:rPr>
        <w:t>、链家相当，以86人、74人分列二、三位。从表</w:t>
      </w:r>
      <w:r>
        <w:rPr>
          <w:rFonts w:hint="eastAsia" w:ascii="Times New Roman" w:hAnsi="Times New Roman"/>
          <w:color w:val="000000" w:themeColor="text1"/>
          <w:sz w:val="24"/>
          <w14:textFill>
            <w14:solidFill>
              <w14:schemeClr w14:val="tx1"/>
            </w14:solidFill>
          </w14:textFill>
        </w:rPr>
        <w:t>7</w:t>
      </w:r>
      <w:r>
        <w:rPr>
          <w:rFonts w:ascii="Times New Roman" w:hAnsi="Times New Roman"/>
          <w:color w:val="000000" w:themeColor="text1"/>
          <w:sz w:val="24"/>
          <w14:textFill>
            <w14:solidFill>
              <w14:schemeClr w14:val="tx1"/>
            </w14:solidFill>
          </w14:textFill>
        </w:rPr>
        <w:t>可以看出，中介机构信用等级情况与内部从业人员信用等级存在一定正相关关系，即机构信用等级越高，旗下信用等级为“优质”或“良好”信用等级的从业人员越多。</w:t>
      </w:r>
    </w:p>
    <w:p>
      <w:pPr>
        <w:pStyle w:val="26"/>
        <w:ind w:firstLine="0"/>
        <w:jc w:val="center"/>
        <w:rPr>
          <w:rFonts w:hint="default"/>
        </w:rPr>
      </w:pPr>
    </w:p>
    <w:p>
      <w:pPr>
        <w:pStyle w:val="26"/>
        <w:ind w:firstLine="0"/>
        <w:jc w:val="center"/>
        <w:rPr>
          <w:rFonts w:hint="default"/>
        </w:rPr>
      </w:pPr>
      <w:r>
        <w:rPr>
          <w:rFonts w:hint="default"/>
        </w:rPr>
        <w:t>表</w:t>
      </w:r>
      <w:r>
        <w:t>7</w:t>
      </w:r>
      <w:r>
        <w:rPr>
          <w:rFonts w:hint="default"/>
        </w:rPr>
        <w:t xml:space="preserve">  2022年度优质、良好信用等级机构旗下信用等级为优质或良好的从业人员数量</w:t>
      </w:r>
    </w:p>
    <w:tbl>
      <w:tblPr>
        <w:tblStyle w:val="20"/>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4111"/>
        <w:gridCol w:w="1134"/>
        <w:gridCol w:w="1134"/>
        <w:gridCol w:w="1112"/>
        <w:gridCol w:w="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jc w:val="center"/>
              <w:rPr>
                <w:rFonts w:ascii="Times New Roman" w:hAnsi="Times New Roman" w:eastAsia="黑体"/>
                <w:b/>
                <w:color w:val="000000"/>
                <w:sz w:val="22"/>
              </w:rPr>
            </w:pPr>
            <w:r>
              <w:rPr>
                <w:rFonts w:ascii="Times New Roman" w:hAnsi="Times New Roman" w:eastAsia="黑体"/>
                <w:b/>
                <w:color w:val="000000"/>
                <w:sz w:val="22"/>
              </w:rPr>
              <w:t>序号</w:t>
            </w:r>
          </w:p>
        </w:tc>
        <w:tc>
          <w:tcPr>
            <w:tcW w:w="4111" w:type="dxa"/>
            <w:vAlign w:val="center"/>
          </w:tcPr>
          <w:p>
            <w:pPr>
              <w:jc w:val="center"/>
              <w:rPr>
                <w:rFonts w:ascii="Times New Roman" w:hAnsi="Times New Roman" w:eastAsia="黑体"/>
                <w:b/>
                <w:color w:val="000000"/>
                <w:sz w:val="22"/>
              </w:rPr>
            </w:pPr>
            <w:r>
              <w:rPr>
                <w:rFonts w:ascii="Times New Roman" w:hAnsi="Times New Roman" w:eastAsia="黑体"/>
                <w:b/>
                <w:color w:val="000000"/>
                <w:sz w:val="22"/>
              </w:rPr>
              <w:t>机构名称</w:t>
            </w:r>
          </w:p>
        </w:tc>
        <w:tc>
          <w:tcPr>
            <w:tcW w:w="1134" w:type="dxa"/>
            <w:vAlign w:val="center"/>
          </w:tcPr>
          <w:p>
            <w:pPr>
              <w:jc w:val="center"/>
              <w:rPr>
                <w:rFonts w:ascii="Times New Roman" w:hAnsi="Times New Roman" w:eastAsia="黑体"/>
                <w:b/>
                <w:color w:val="000000"/>
                <w:sz w:val="22"/>
              </w:rPr>
            </w:pPr>
            <w:r>
              <w:rPr>
                <w:rFonts w:ascii="Times New Roman" w:hAnsi="Times New Roman" w:eastAsia="黑体"/>
                <w:b/>
                <w:color w:val="000000"/>
                <w:sz w:val="22"/>
              </w:rPr>
              <w:t>2022年度信用等级</w:t>
            </w:r>
          </w:p>
        </w:tc>
        <w:tc>
          <w:tcPr>
            <w:tcW w:w="1134" w:type="dxa"/>
            <w:vAlign w:val="center"/>
          </w:tcPr>
          <w:p>
            <w:pPr>
              <w:jc w:val="center"/>
              <w:rPr>
                <w:rFonts w:ascii="Times New Roman" w:hAnsi="Times New Roman" w:eastAsia="黑体"/>
                <w:b/>
                <w:color w:val="000000"/>
                <w:sz w:val="22"/>
              </w:rPr>
            </w:pPr>
            <w:r>
              <w:rPr>
                <w:rFonts w:ascii="Times New Roman" w:hAnsi="Times New Roman" w:eastAsia="黑体"/>
                <w:b/>
                <w:color w:val="000000"/>
                <w:sz w:val="22"/>
              </w:rPr>
              <w:t>优质等级人员数量</w:t>
            </w:r>
          </w:p>
        </w:tc>
        <w:tc>
          <w:tcPr>
            <w:tcW w:w="1112" w:type="dxa"/>
            <w:vAlign w:val="center"/>
          </w:tcPr>
          <w:p>
            <w:pPr>
              <w:jc w:val="center"/>
              <w:rPr>
                <w:rFonts w:ascii="Times New Roman" w:hAnsi="Times New Roman" w:eastAsia="黑体"/>
                <w:b/>
                <w:color w:val="000000"/>
                <w:sz w:val="22"/>
              </w:rPr>
            </w:pPr>
            <w:r>
              <w:rPr>
                <w:rFonts w:ascii="Times New Roman" w:hAnsi="Times New Roman" w:eastAsia="黑体"/>
                <w:b/>
                <w:color w:val="000000"/>
                <w:sz w:val="22"/>
              </w:rPr>
              <w:t>良好等级人员数量</w:t>
            </w:r>
          </w:p>
        </w:tc>
        <w:tc>
          <w:tcPr>
            <w:tcW w:w="826" w:type="dxa"/>
            <w:vAlign w:val="center"/>
          </w:tcPr>
          <w:p>
            <w:pPr>
              <w:jc w:val="center"/>
              <w:rPr>
                <w:rFonts w:ascii="Times New Roman" w:hAnsi="Times New Roman" w:eastAsia="黑体"/>
                <w:b/>
                <w:color w:val="000000"/>
                <w:sz w:val="22"/>
              </w:rPr>
            </w:pPr>
            <w:r>
              <w:rPr>
                <w:rFonts w:ascii="Times New Roman" w:hAnsi="Times New Roman" w:eastAsia="黑体"/>
                <w:b/>
                <w:color w:val="000000"/>
                <w:sz w:val="22"/>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广东合富房地产置业有限公司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61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79</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广东中原地产代理有限公司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49</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37</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广东链家房地产经纪有限公司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28</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46</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广州仁隆房地产销售代理有限公司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13</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14</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广州裕丰咨询顾问有限公司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8</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18</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6</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广州明昇房地产销售代理有限公司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8</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12</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7</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广州市德鸿行房地产代理有限公司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6</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8</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8</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广州信礼房地产销售代理有限公司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广州富宸房地产销售代理有限公司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6</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10</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广州保利爱家房地产经纪有限公司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11</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广州盈创房地产销售代理有限公司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12</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广州兆庭房地产销售代理有限公司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13</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广州连家地产代理有限公司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14</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广州市宜居房地产代理有限公司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15</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广东德诚行地产集团有限公司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16</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广东合富辉煌房地产顾问有限公司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17</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广州市置家房地产代理有限公司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18</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广州市纵博房地产代理有限公司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19</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广州市海穗房地产代理有限公司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20</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广州方圆生活服务有限公司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21</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广州市安佳房地产代理有限公司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22</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广州亿诚房地产咨询有限公司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23</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广州市新易房地产代理有限公司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24</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广州瀚信置业有限公司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25</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广州市智富房地产代理有限公司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26</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广州雅丰房地产销售代理有限公司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27</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房六六置业(广州)有限公司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28</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广州市乐有家房产经纪有限公司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29</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广州市添房置业有限公司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30</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广州裕德丰房地产咨询有限公司</w:t>
            </w:r>
          </w:p>
        </w:tc>
        <w:tc>
          <w:tcPr>
            <w:tcW w:w="1134" w:type="dxa"/>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优质</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31</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广州市中营房地产代理有限公司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32</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广州市禧汇房地产代理有限公司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33</w:t>
            </w:r>
          </w:p>
        </w:tc>
        <w:tc>
          <w:tcPr>
            <w:tcW w:w="4111"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广州全洲房地产咨询有限公司</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良好</w:t>
            </w:r>
          </w:p>
        </w:tc>
        <w:tc>
          <w:tcPr>
            <w:tcW w:w="1134"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1112"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c>
          <w:tcPr>
            <w:tcW w:w="826" w:type="dxa"/>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p>
        </w:tc>
      </w:tr>
    </w:tbl>
    <w:p>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pPr>
        <w:pStyle w:val="26"/>
        <w:ind w:firstLine="0"/>
        <w:rPr>
          <w:rFonts w:hint="default"/>
          <w:highlight w:val="yellow"/>
        </w:rPr>
      </w:pPr>
    </w:p>
    <w:p>
      <w:pPr>
        <w:pStyle w:val="2"/>
        <w:pageBreakBefore/>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26" w:name="_Toc98168325"/>
      <w:bookmarkStart w:id="27" w:name="_Toc129785100"/>
      <w:r>
        <w:rPr>
          <w:rFonts w:ascii="Times New Roman" w:hAnsi="Times New Roman" w:eastAsia="黑体"/>
          <w:bCs w:val="0"/>
          <w:color w:val="000000" w:themeColor="text1"/>
          <w:sz w:val="32"/>
          <w:szCs w:val="24"/>
          <w14:textFill>
            <w14:solidFill>
              <w14:schemeClr w14:val="tx1"/>
            </w14:solidFill>
          </w14:textFill>
        </w:rPr>
        <w:t>七、消费者投诉情况</w:t>
      </w:r>
      <w:bookmarkEnd w:id="26"/>
      <w:bookmarkEnd w:id="27"/>
    </w:p>
    <w:p>
      <w:pPr>
        <w:spacing w:line="360" w:lineRule="auto"/>
        <w:ind w:firstLine="480" w:firstLineChars="200"/>
        <w:rPr>
          <w:rFonts w:ascii="Times New Roman" w:hAnsi="Times New Roman"/>
          <w:color w:val="FF0000"/>
          <w:sz w:val="24"/>
        </w:rPr>
      </w:pPr>
      <w:bookmarkStart w:id="28" w:name="OLE_LINK2"/>
      <w:bookmarkStart w:id="29" w:name="OLE_LINK1"/>
      <w:bookmarkStart w:id="30" w:name="OLE_LINK4"/>
      <w:bookmarkStart w:id="31" w:name="OLE_LINK3"/>
      <w:r>
        <w:rPr>
          <w:rFonts w:ascii="Times New Roman" w:hAnsi="Times New Roman"/>
          <w:color w:val="000000" w:themeColor="text1"/>
          <w:sz w:val="24"/>
          <w14:textFill>
            <w14:solidFill>
              <w14:schemeClr w14:val="tx1"/>
            </w14:solidFill>
          </w14:textFill>
        </w:rPr>
        <w:t>2022年，全市</w:t>
      </w:r>
      <w:r>
        <w:rPr>
          <w:rFonts w:hint="eastAsia" w:ascii="Times New Roman" w:hAnsi="Times New Roman"/>
          <w:color w:val="000000" w:themeColor="text1"/>
          <w:sz w:val="24"/>
          <w14:textFill>
            <w14:solidFill>
              <w14:schemeClr w14:val="tx1"/>
            </w14:solidFill>
          </w14:textFill>
        </w:rPr>
        <w:t>住建系统</w:t>
      </w:r>
      <w:r>
        <w:rPr>
          <w:rFonts w:ascii="Times New Roman" w:hAnsi="Times New Roman"/>
          <w:color w:val="000000" w:themeColor="text1"/>
          <w:sz w:val="24"/>
          <w14:textFill>
            <w14:solidFill>
              <w14:schemeClr w14:val="tx1"/>
            </w14:solidFill>
          </w14:textFill>
        </w:rPr>
        <w:t>受理有关房地产中介服务的“12345”热线</w:t>
      </w:r>
      <w:r>
        <w:rPr>
          <w:rFonts w:hint="eastAsia" w:ascii="Times New Roman" w:hAnsi="Times New Roman"/>
          <w:color w:val="000000" w:themeColor="text1"/>
          <w:sz w:val="24"/>
          <w14:textFill>
            <w14:solidFill>
              <w14:schemeClr w14:val="tx1"/>
            </w14:solidFill>
          </w14:textFill>
        </w:rPr>
        <w:t>及信访投诉</w:t>
      </w:r>
      <w:r>
        <w:rPr>
          <w:rFonts w:ascii="Times New Roman" w:hAnsi="Times New Roman"/>
          <w:color w:val="000000" w:themeColor="text1"/>
          <w:sz w:val="24"/>
          <w14:textFill>
            <w14:solidFill>
              <w14:schemeClr w14:val="tx1"/>
            </w14:solidFill>
          </w14:textFill>
        </w:rPr>
        <w:t>案件共计</w:t>
      </w:r>
      <w:r>
        <w:rPr>
          <w:rFonts w:hint="eastAsia" w:ascii="Times New Roman" w:hAnsi="Times New Roman"/>
          <w:color w:val="000000" w:themeColor="text1"/>
          <w:sz w:val="24"/>
          <w14:textFill>
            <w14:solidFill>
              <w14:schemeClr w14:val="tx1"/>
            </w14:solidFill>
          </w14:textFill>
        </w:rPr>
        <w:t>893</w:t>
      </w:r>
      <w:r>
        <w:rPr>
          <w:rFonts w:ascii="Times New Roman" w:hAnsi="Times New Roman"/>
          <w:color w:val="000000" w:themeColor="text1"/>
          <w:sz w:val="24"/>
          <w14:textFill>
            <w14:solidFill>
              <w14:schemeClr w14:val="tx1"/>
            </w14:solidFill>
          </w14:textFill>
        </w:rPr>
        <w:t>宗</w:t>
      </w:r>
      <w:bookmarkEnd w:id="28"/>
      <w:bookmarkEnd w:id="29"/>
      <w:r>
        <w:rPr>
          <w:rFonts w:hint="eastAsia" w:ascii="Times New Roman" w:hAnsi="Times New Roman"/>
          <w:color w:val="000000" w:themeColor="text1"/>
          <w:sz w:val="24"/>
          <w14:textFill>
            <w14:solidFill>
              <w14:schemeClr w14:val="tx1"/>
            </w14:solidFill>
          </w14:textFill>
        </w:rPr>
        <w:t>，同比2021年的1296宗下降31.10%。</w:t>
      </w:r>
    </w:p>
    <w:bookmarkEnd w:id="30"/>
    <w:bookmarkEnd w:id="31"/>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893宗消费者投诉房地产中介案件中，有694宗案件涉及具体的房屋交易行为（含一手买卖、二手买卖和房屋租赁），</w:t>
      </w:r>
      <w:r>
        <w:rPr>
          <w:rFonts w:hint="eastAsia" w:ascii="Times New Roman" w:hAnsi="Times New Roman"/>
          <w:color w:val="000000" w:themeColor="text1"/>
          <w:sz w:val="24"/>
          <w14:textFill>
            <w14:solidFill>
              <w14:schemeClr w14:val="tx1"/>
            </w14:solidFill>
          </w14:textFill>
        </w:rPr>
        <w:t>其余</w:t>
      </w:r>
      <w:r>
        <w:rPr>
          <w:rFonts w:ascii="Times New Roman" w:hAnsi="Times New Roman"/>
          <w:color w:val="000000" w:themeColor="text1"/>
          <w:sz w:val="24"/>
          <w14:textFill>
            <w14:solidFill>
              <w14:schemeClr w14:val="tx1"/>
            </w14:solidFill>
          </w14:textFill>
        </w:rPr>
        <w:t>199宗案件未涉及具体的房屋交易行为</w:t>
      </w:r>
      <w:r>
        <w:rPr>
          <w:rFonts w:hint="eastAsia" w:ascii="Times New Roman" w:hAnsi="Times New Roman"/>
          <w:color w:val="000000" w:themeColor="text1"/>
          <w:sz w:val="24"/>
          <w14:textFill>
            <w14:solidFill>
              <w14:schemeClr w14:val="tx1"/>
            </w14:solidFill>
          </w14:textFill>
        </w:rPr>
        <w:t>，主要是反映中介服务态度差，骚扰、恐吓、谩骂客户，违背消费者意愿提供中介服务，发布虚假或禁止交易的房源信息广告</w:t>
      </w:r>
      <w:r>
        <w:rPr>
          <w:rFonts w:ascii="Times New Roman" w:hAnsi="Times New Roman"/>
          <w:color w:val="000000" w:themeColor="text1"/>
          <w:sz w:val="24"/>
          <w14:textFill>
            <w14:solidFill>
              <w14:schemeClr w14:val="tx1"/>
            </w14:solidFill>
          </w14:textFill>
        </w:rPr>
        <w:t>等。</w:t>
      </w: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4672965" cy="2743200"/>
            <wp:effectExtent l="0" t="0" r="0" b="0"/>
            <wp:docPr id="26"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true" noChangeArrowheads="true"/>
                    </pic:cNvPicPr>
                  </pic:nvPicPr>
                  <pic:blipFill>
                    <a:blip r:embed="rId49">
                      <a:extLst>
                        <a:ext uri="{28A0092B-C50C-407E-A947-70E740481C1C}">
                          <a14:useLocalDpi xmlns:a14="http://schemas.microsoft.com/office/drawing/2010/main" val="false"/>
                        </a:ext>
                      </a:extLst>
                    </a:blip>
                    <a:srcRect/>
                    <a:stretch>
                      <a:fillRect/>
                    </a:stretch>
                  </pic:blipFill>
                  <pic:spPr>
                    <a:xfrm>
                      <a:off x="0" y="0"/>
                      <a:ext cx="4689748" cy="2752825"/>
                    </a:xfrm>
                    <a:prstGeom prst="rect">
                      <a:avLst/>
                    </a:prstGeom>
                    <a:noFill/>
                  </pic:spPr>
                </pic:pic>
              </a:graphicData>
            </a:graphic>
          </wp:inline>
        </w:drawing>
      </w:r>
    </w:p>
    <w:p>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r>
        <w:rPr>
          <w:rFonts w:ascii="Times New Roman" w:hAnsi="Times New Roman" w:eastAsiaTheme="minorEastAsia"/>
          <w:color w:val="000000" w:themeColor="text1"/>
          <w:szCs w:val="28"/>
          <w14:textFill>
            <w14:solidFill>
              <w14:schemeClr w14:val="tx1"/>
            </w14:solidFill>
          </w14:textFill>
        </w:rPr>
        <w:t>数据来源：</w:t>
      </w:r>
      <w:r>
        <w:rPr>
          <w:rFonts w:hint="eastAsia" w:ascii="Times New Roman" w:hAnsi="Times New Roman" w:eastAsiaTheme="minorEastAsia"/>
          <w:color w:val="000000" w:themeColor="text1"/>
          <w:szCs w:val="28"/>
          <w14:textFill>
            <w14:solidFill>
              <w14:schemeClr w14:val="tx1"/>
            </w14:solidFill>
          </w14:textFill>
        </w:rPr>
        <w:t>广州</w:t>
      </w:r>
      <w:r>
        <w:rPr>
          <w:rFonts w:ascii="Times New Roman" w:hAnsi="Times New Roman" w:eastAsiaTheme="minorEastAsia"/>
          <w:color w:val="000000" w:themeColor="text1"/>
          <w:szCs w:val="28"/>
          <w14:textFill>
            <w14:solidFill>
              <w14:schemeClr w14:val="tx1"/>
            </w14:solidFill>
          </w14:textFill>
        </w:rPr>
        <w:t>市</w:t>
      </w:r>
      <w:r>
        <w:rPr>
          <w:rFonts w:hint="eastAsia" w:ascii="Times New Roman" w:hAnsi="Times New Roman" w:eastAsiaTheme="minorEastAsia"/>
          <w:color w:val="000000" w:themeColor="text1"/>
          <w:szCs w:val="28"/>
          <w14:textFill>
            <w14:solidFill>
              <w14:schemeClr w14:val="tx1"/>
            </w14:solidFill>
          </w14:textFill>
        </w:rPr>
        <w:t>房屋交易监管</w:t>
      </w:r>
      <w:r>
        <w:rPr>
          <w:rFonts w:ascii="Times New Roman" w:hAnsi="Times New Roman" w:eastAsiaTheme="minorEastAsia"/>
          <w:color w:val="000000" w:themeColor="text1"/>
          <w:szCs w:val="28"/>
          <w14:textFill>
            <w14:solidFill>
              <w14:schemeClr w14:val="tx1"/>
            </w14:solidFill>
          </w14:textFill>
        </w:rPr>
        <w:t>中心</w:t>
      </w:r>
    </w:p>
    <w:p>
      <w:pPr>
        <w:spacing w:line="360" w:lineRule="auto"/>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图1</w:t>
      </w:r>
      <w:r>
        <w:rPr>
          <w:rFonts w:hint="eastAsia" w:ascii="Times New Roman" w:hAnsi="Times New Roman"/>
          <w:color w:val="000000" w:themeColor="text1"/>
          <w14:textFill>
            <w14:solidFill>
              <w14:schemeClr w14:val="tx1"/>
            </w14:solidFill>
          </w14:textFill>
        </w:rPr>
        <w:t>0</w:t>
      </w:r>
      <w:r>
        <w:rPr>
          <w:rFonts w:ascii="Times New Roman" w:hAnsi="Times New Roman"/>
          <w:color w:val="000000" w:themeColor="text1"/>
          <w14:textFill>
            <w14:solidFill>
              <w14:schemeClr w14:val="tx1"/>
            </w14:solidFill>
          </w14:textFill>
        </w:rPr>
        <w:t xml:space="preserve"> 消费者投诉案件的类型占比</w:t>
      </w:r>
    </w:p>
    <w:p>
      <w:pPr>
        <w:pStyle w:val="3"/>
        <w:numPr>
          <w:ilvl w:val="255"/>
          <w:numId w:val="0"/>
        </w:numPr>
        <w:spacing w:before="0" w:after="0" w:line="360" w:lineRule="auto"/>
        <w:jc w:val="left"/>
        <w:rPr>
          <w:rFonts w:ascii="Times New Roman" w:hAnsi="Times New Roman" w:eastAsia="黑体"/>
          <w:b w:val="0"/>
          <w:bCs w:val="0"/>
          <w:color w:val="000000" w:themeColor="text1"/>
          <w:sz w:val="28"/>
          <w:szCs w:val="28"/>
          <w14:textFill>
            <w14:solidFill>
              <w14:schemeClr w14:val="tx1"/>
            </w14:solidFill>
          </w14:textFill>
        </w:rPr>
      </w:pPr>
      <w:bookmarkStart w:id="32" w:name="_Toc129785101"/>
      <w:bookmarkStart w:id="33" w:name="_Toc32232"/>
      <w:bookmarkStart w:id="34" w:name="_Toc128753704"/>
      <w:bookmarkStart w:id="35" w:name="_Toc30527"/>
      <w:bookmarkStart w:id="36" w:name="_Toc23674"/>
      <w:bookmarkStart w:id="37" w:name="_Toc128564712"/>
      <w:bookmarkStart w:id="38" w:name="_Toc9790"/>
      <w:bookmarkStart w:id="39" w:name="_Toc23505"/>
      <w:bookmarkStart w:id="40" w:name="_Toc127875407"/>
      <w:bookmarkStart w:id="41" w:name="_Toc4190"/>
      <w:bookmarkStart w:id="42" w:name="_Toc16109"/>
      <w:bookmarkStart w:id="43" w:name="_Toc10887"/>
      <w:bookmarkStart w:id="44" w:name="_Toc22595"/>
      <w:bookmarkStart w:id="45" w:name="_Toc594"/>
      <w:bookmarkStart w:id="46" w:name="_Toc15738"/>
      <w:bookmarkStart w:id="47" w:name="_Toc21280"/>
      <w:bookmarkStart w:id="48" w:name="_Toc2703"/>
      <w:bookmarkStart w:id="49" w:name="_Toc32696"/>
      <w:bookmarkStart w:id="50" w:name="_Toc23216"/>
      <w:bookmarkStart w:id="51" w:name="_Toc19220"/>
      <w:bookmarkStart w:id="52" w:name="_Toc26547"/>
      <w:bookmarkStart w:id="53" w:name="_Toc6763"/>
      <w:bookmarkStart w:id="54" w:name="_Toc30644"/>
      <w:bookmarkStart w:id="55" w:name="_Toc19772"/>
      <w:bookmarkStart w:id="56" w:name="_Toc121991216"/>
      <w:bookmarkStart w:id="57" w:name="_Toc5911"/>
      <w:bookmarkStart w:id="58" w:name="_Toc20749"/>
      <w:bookmarkStart w:id="59" w:name="_Toc4795"/>
      <w:bookmarkStart w:id="60" w:name="_Toc20637"/>
      <w:r>
        <w:rPr>
          <w:rFonts w:hint="eastAsia" w:ascii="Times New Roman" w:hAnsi="Times New Roman" w:eastAsia="黑体" w:cs="Times New Roman"/>
          <w:bCs w:val="0"/>
          <w:color w:val="000000" w:themeColor="text1"/>
          <w:sz w:val="28"/>
          <w:szCs w:val="28"/>
          <w14:textFill>
            <w14:solidFill>
              <w14:schemeClr w14:val="tx1"/>
            </w14:solidFill>
          </w14:textFill>
        </w:rPr>
        <w:t>（一）投诉事由分析</w:t>
      </w:r>
      <w:bookmarkEnd w:id="32"/>
    </w:p>
    <w:p>
      <w:pPr>
        <w:numPr>
          <w:ilvl w:val="255"/>
          <w:numId w:val="0"/>
        </w:numPr>
        <w:spacing w:line="360" w:lineRule="auto"/>
        <w:ind w:firstLine="481" w:firstLineChars="200"/>
        <w:jc w:val="left"/>
        <w:outlineLvl w:val="1"/>
        <w:rPr>
          <w:rFonts w:ascii="Times New Roman" w:hAnsi="Times New Roman"/>
          <w:b/>
          <w:bCs/>
          <w:sz w:val="24"/>
          <w:szCs w:val="32"/>
        </w:rPr>
      </w:pPr>
      <w:bookmarkStart w:id="61" w:name="_Toc129769280"/>
      <w:bookmarkStart w:id="62" w:name="_Toc129694229"/>
      <w:bookmarkStart w:id="63" w:name="_Toc129694159"/>
      <w:bookmarkStart w:id="64" w:name="_Toc129785102"/>
      <w:r>
        <w:rPr>
          <w:rFonts w:hint="eastAsia" w:ascii="Times New Roman" w:hAnsi="Times New Roman"/>
          <w:b/>
          <w:bCs/>
          <w:sz w:val="24"/>
          <w:szCs w:val="32"/>
        </w:rPr>
        <w:t>1、</w:t>
      </w:r>
      <w:r>
        <w:rPr>
          <w:rFonts w:ascii="Times New Roman" w:hAnsi="Times New Roman"/>
          <w:b/>
          <w:bCs/>
          <w:sz w:val="24"/>
          <w:szCs w:val="32"/>
        </w:rPr>
        <w:t>一手交易纠纷</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涉及房地产中介的一手交易投诉案件共142宗。消费者反映的问题主要集中在中介机构</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或从业人员</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未依约兑现返佣承诺以及中介以团购费、服务费等名义变相收取中介费</w:t>
      </w:r>
      <w:r>
        <w:rPr>
          <w:rFonts w:hint="eastAsia" w:ascii="Times New Roman" w:hAnsi="Times New Roman"/>
          <w:color w:val="000000" w:themeColor="text1"/>
          <w:sz w:val="24"/>
          <w14:textFill>
            <w14:solidFill>
              <w14:schemeClr w14:val="tx1"/>
            </w14:solidFill>
          </w14:textFill>
        </w:rPr>
        <w:t>等</w:t>
      </w:r>
      <w:r>
        <w:rPr>
          <w:rFonts w:ascii="Times New Roman" w:hAnsi="Times New Roman"/>
          <w:color w:val="000000" w:themeColor="text1"/>
          <w:sz w:val="24"/>
          <w14:textFill>
            <w14:solidFill>
              <w14:schemeClr w14:val="tx1"/>
            </w14:solidFill>
          </w14:textFill>
        </w:rPr>
        <w:t>情况，分别占62%、19%。（详见表</w:t>
      </w:r>
      <w:r>
        <w:rPr>
          <w:rFonts w:hint="eastAsia" w:ascii="Times New Roman" w:hAnsi="Times New Roman"/>
          <w:color w:val="000000" w:themeColor="text1"/>
          <w:sz w:val="24"/>
          <w14:textFill>
            <w14:solidFill>
              <w14:schemeClr w14:val="tx1"/>
            </w14:solidFill>
          </w14:textFill>
        </w:rPr>
        <w:t>8</w:t>
      </w:r>
      <w:r>
        <w:rPr>
          <w:rFonts w:ascii="Times New Roman" w:hAnsi="Times New Roman"/>
          <w:color w:val="000000" w:themeColor="text1"/>
          <w:sz w:val="24"/>
          <w14:textFill>
            <w14:solidFill>
              <w14:schemeClr w14:val="tx1"/>
            </w14:solidFill>
          </w14:textFill>
        </w:rPr>
        <w:t>）</w:t>
      </w:r>
    </w:p>
    <w:p>
      <w:pPr>
        <w:spacing w:line="360" w:lineRule="auto"/>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w:t>
      </w:r>
      <w:r>
        <w:rPr>
          <w:rFonts w:hint="eastAsia" w:ascii="Times New Roman" w:hAnsi="Times New Roman"/>
          <w:color w:val="000000" w:themeColor="text1"/>
          <w14:textFill>
            <w14:solidFill>
              <w14:schemeClr w14:val="tx1"/>
            </w14:solidFill>
          </w14:textFill>
        </w:rPr>
        <w:t>8</w:t>
      </w:r>
      <w:r>
        <w:rPr>
          <w:rFonts w:ascii="Times New Roman" w:hAnsi="Times New Roman"/>
          <w:color w:val="000000" w:themeColor="text1"/>
          <w14:textFill>
            <w14:solidFill>
              <w14:schemeClr w14:val="tx1"/>
            </w14:solidFill>
          </w14:textFill>
        </w:rPr>
        <w:t xml:space="preserve">  房地产中介涉及一手交易案件事由分析</w:t>
      </w:r>
    </w:p>
    <w:tbl>
      <w:tblPr>
        <w:tblStyle w:val="19"/>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953"/>
        <w:gridCol w:w="832"/>
        <w:gridCol w:w="810"/>
        <w:gridCol w:w="918"/>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序号</w:t>
            </w:r>
          </w:p>
        </w:tc>
        <w:tc>
          <w:tcPr>
            <w:tcW w:w="4953" w:type="dxa"/>
            <w:shd w:val="clear" w:color="DCE6F1"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事由分类</w:t>
            </w:r>
          </w:p>
        </w:tc>
        <w:tc>
          <w:tcPr>
            <w:tcW w:w="832" w:type="dxa"/>
            <w:shd w:val="clear" w:color="DCE6F1"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热线数量</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810" w:type="dxa"/>
            <w:shd w:val="clear" w:color="DCE6F1"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信访数量</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918" w:type="dxa"/>
            <w:shd w:val="clear" w:color="DCE6F1"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总数（宗）</w:t>
            </w:r>
          </w:p>
        </w:tc>
        <w:tc>
          <w:tcPr>
            <w:tcW w:w="1159" w:type="dxa"/>
            <w:shd w:val="clear" w:color="DCE6F1"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中介机构(或从业人员)未兑现返佣承诺</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86</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88</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中介以团购费、服务费等名义变相收取中介费</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25</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27</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虚假口头承诺（如赠送物业费、电子产品等），签约后无法兑现，要求退中介费、定金等</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二次投诉（案件处理答复不满意、问题未解决、要求书面回复等）</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签约（或支付部分房款）后，购房人提出终止交易，并要求退回定金、中介费、按揭费、诚意金等</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隐瞒或提供虚假、错误的房屋交易信息（如：房屋性质、贷款年限、贷款金额等）</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隐瞒房屋真实放盘价格（如：以差价全部或部分作中介费、抬高房屋出售价格等）</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7" w:type="dxa"/>
            <w:shd w:val="clear" w:color="DCE6F1" w:fill="auto"/>
            <w:noWrap/>
            <w:vAlign w:val="center"/>
          </w:tcPr>
          <w:p>
            <w:pPr>
              <w:widowControl/>
              <w:numPr>
                <w:ilvl w:val="0"/>
                <w:numId w:val="1"/>
              </w:numPr>
              <w:spacing w:line="276" w:lineRule="auto"/>
              <w:jc w:val="center"/>
              <w:textAlignment w:val="center"/>
              <w:rPr>
                <w:rFonts w:ascii="Times New Roman" w:hAnsi="Times New Roman" w:eastAsia="仿宋"/>
                <w:kern w:val="0"/>
                <w:sz w:val="24"/>
                <w:szCs w:val="24"/>
              </w:rPr>
            </w:pPr>
          </w:p>
        </w:tc>
        <w:tc>
          <w:tcPr>
            <w:tcW w:w="4953" w:type="dxa"/>
            <w:shd w:val="clear" w:color="DCE6F1" w:fill="auto"/>
            <w:noWrap/>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违反限售限购限贷政策提供中介服务（如：未审查或明知买方无购房资格、零首付或首付不足三成、协助或诱导当事人提供虚假购房证明材料等、房屋是否具备出售条件）</w:t>
            </w:r>
            <w:r>
              <w:rPr>
                <w:rFonts w:hint="eastAsia" w:ascii="Times New Roman" w:hAnsi="Times New Roman" w:eastAsia="仿宋"/>
                <w:kern w:val="0"/>
                <w:sz w:val="24"/>
                <w:szCs w:val="24"/>
              </w:rPr>
              <w:t>。</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70" w:type="dxa"/>
            <w:gridSpan w:val="2"/>
            <w:shd w:val="clear" w:color="DCE6F1"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合计</w:t>
            </w:r>
          </w:p>
        </w:tc>
        <w:tc>
          <w:tcPr>
            <w:tcW w:w="832" w:type="dxa"/>
            <w:shd w:val="clear" w:color="DCE6F1"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136</w:t>
            </w:r>
          </w:p>
        </w:tc>
        <w:tc>
          <w:tcPr>
            <w:tcW w:w="810" w:type="dxa"/>
            <w:shd w:val="clear" w:color="DCE6F1"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6</w:t>
            </w:r>
          </w:p>
        </w:tc>
        <w:tc>
          <w:tcPr>
            <w:tcW w:w="918" w:type="dxa"/>
            <w:shd w:val="clear" w:color="DCE6F1"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142</w:t>
            </w:r>
          </w:p>
        </w:tc>
        <w:tc>
          <w:tcPr>
            <w:tcW w:w="1159" w:type="dxa"/>
            <w:shd w:val="clear" w:color="DCE6F1"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100</w:t>
            </w:r>
            <w:r>
              <w:rPr>
                <w:rFonts w:hint="eastAsia" w:ascii="Times New Roman" w:hAnsi="Times New Roman" w:eastAsia="仿宋"/>
                <w:b/>
                <w:bCs/>
                <w:kern w:val="0"/>
                <w:sz w:val="24"/>
                <w:szCs w:val="24"/>
              </w:rPr>
              <w:t>.0</w:t>
            </w:r>
            <w:r>
              <w:rPr>
                <w:rFonts w:ascii="Times New Roman" w:hAnsi="Times New Roman" w:eastAsia="仿宋"/>
                <w:b/>
                <w:bCs/>
                <w:kern w:val="0"/>
                <w:sz w:val="24"/>
                <w:szCs w:val="24"/>
              </w:rPr>
              <w:t>%</w:t>
            </w:r>
          </w:p>
        </w:tc>
      </w:tr>
    </w:tbl>
    <w:p>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bookmarkStart w:id="65" w:name="_Toc26104"/>
      <w:bookmarkStart w:id="66" w:name="_Toc13317"/>
      <w:bookmarkStart w:id="67" w:name="_Toc20375"/>
      <w:bookmarkStart w:id="68" w:name="_Toc24474"/>
      <w:bookmarkStart w:id="69" w:name="_Toc128753705"/>
      <w:bookmarkStart w:id="70" w:name="_Toc17685"/>
      <w:bookmarkStart w:id="71" w:name="_Toc9338"/>
      <w:bookmarkStart w:id="72" w:name="_Toc8059"/>
      <w:bookmarkStart w:id="73" w:name="_Toc15598"/>
      <w:bookmarkStart w:id="74" w:name="_Toc8361"/>
      <w:bookmarkStart w:id="75" w:name="_Toc16052"/>
      <w:bookmarkStart w:id="76" w:name="_Toc22625"/>
      <w:bookmarkStart w:id="77" w:name="_Toc13715"/>
      <w:bookmarkStart w:id="78" w:name="_Toc25854"/>
      <w:bookmarkStart w:id="79" w:name="_Toc2047"/>
      <w:bookmarkStart w:id="80" w:name="_Toc10762"/>
      <w:bookmarkStart w:id="81" w:name="_Toc3191"/>
      <w:bookmarkStart w:id="82" w:name="_Toc121991217"/>
      <w:bookmarkStart w:id="83" w:name="_Toc30877"/>
      <w:bookmarkStart w:id="84" w:name="_Toc128564713"/>
      <w:bookmarkStart w:id="85" w:name="_Toc127875408"/>
      <w:bookmarkStart w:id="86" w:name="_Toc27403"/>
      <w:bookmarkStart w:id="87" w:name="_Toc19757"/>
      <w:bookmarkStart w:id="88" w:name="_Toc1626"/>
      <w:bookmarkStart w:id="89" w:name="_Toc20268"/>
      <w:bookmarkStart w:id="90" w:name="_Toc8382"/>
      <w:bookmarkStart w:id="91" w:name="_Toc20753"/>
      <w:bookmarkStart w:id="92" w:name="_Toc20484"/>
      <w:bookmarkStart w:id="93" w:name="_Toc22183"/>
      <w:r>
        <w:rPr>
          <w:rFonts w:ascii="Times New Roman" w:hAnsi="Times New Roman" w:eastAsiaTheme="minorEastAsia"/>
          <w:color w:val="000000" w:themeColor="text1"/>
          <w:szCs w:val="28"/>
          <w14:textFill>
            <w14:solidFill>
              <w14:schemeClr w14:val="tx1"/>
            </w14:solidFill>
          </w14:textFill>
        </w:rPr>
        <w:t>数据来源：</w:t>
      </w:r>
      <w:r>
        <w:rPr>
          <w:rFonts w:hint="eastAsia" w:ascii="Times New Roman" w:hAnsi="Times New Roman" w:eastAsiaTheme="minorEastAsia"/>
          <w:color w:val="000000" w:themeColor="text1"/>
          <w:szCs w:val="28"/>
          <w14:textFill>
            <w14:solidFill>
              <w14:schemeClr w14:val="tx1"/>
            </w14:solidFill>
          </w14:textFill>
        </w:rPr>
        <w:t>广州</w:t>
      </w:r>
      <w:r>
        <w:rPr>
          <w:rFonts w:ascii="Times New Roman" w:hAnsi="Times New Roman" w:eastAsiaTheme="minorEastAsia"/>
          <w:color w:val="000000" w:themeColor="text1"/>
          <w:szCs w:val="28"/>
          <w14:textFill>
            <w14:solidFill>
              <w14:schemeClr w14:val="tx1"/>
            </w14:solidFill>
          </w14:textFill>
        </w:rPr>
        <w:t>市</w:t>
      </w:r>
      <w:r>
        <w:rPr>
          <w:rFonts w:hint="eastAsia" w:ascii="Times New Roman" w:hAnsi="Times New Roman" w:eastAsiaTheme="minorEastAsia"/>
          <w:color w:val="000000" w:themeColor="text1"/>
          <w:szCs w:val="28"/>
          <w14:textFill>
            <w14:solidFill>
              <w14:schemeClr w14:val="tx1"/>
            </w14:solidFill>
          </w14:textFill>
        </w:rPr>
        <w:t>房屋交易监管</w:t>
      </w:r>
      <w:r>
        <w:rPr>
          <w:rFonts w:ascii="Times New Roman" w:hAnsi="Times New Roman" w:eastAsiaTheme="minorEastAsia"/>
          <w:color w:val="000000" w:themeColor="text1"/>
          <w:szCs w:val="28"/>
          <w14:textFill>
            <w14:solidFill>
              <w14:schemeClr w14:val="tx1"/>
            </w14:solidFill>
          </w14:textFill>
        </w:rPr>
        <w:t>中心</w:t>
      </w:r>
    </w:p>
    <w:p>
      <w:pPr>
        <w:numPr>
          <w:ilvl w:val="255"/>
          <w:numId w:val="0"/>
        </w:numPr>
        <w:spacing w:line="360" w:lineRule="auto"/>
        <w:ind w:firstLine="481" w:firstLineChars="200"/>
        <w:jc w:val="left"/>
        <w:outlineLvl w:val="1"/>
        <w:rPr>
          <w:rFonts w:ascii="Times New Roman" w:hAnsi="Times New Roman"/>
          <w:b/>
          <w:bCs/>
          <w:sz w:val="24"/>
          <w:szCs w:val="32"/>
        </w:rPr>
      </w:pPr>
      <w:bookmarkStart w:id="94" w:name="_Toc129769281"/>
      <w:bookmarkStart w:id="95" w:name="_Toc129785103"/>
      <w:bookmarkStart w:id="96" w:name="_Toc129694160"/>
      <w:bookmarkStart w:id="97" w:name="_Toc129694230"/>
      <w:r>
        <w:rPr>
          <w:rFonts w:hint="eastAsia" w:ascii="Times New Roman" w:hAnsi="Times New Roman"/>
          <w:b/>
          <w:bCs/>
          <w:sz w:val="24"/>
          <w:szCs w:val="32"/>
        </w:rPr>
        <w:t>2、</w:t>
      </w:r>
      <w:r>
        <w:rPr>
          <w:rFonts w:ascii="Times New Roman" w:hAnsi="Times New Roman"/>
          <w:b/>
          <w:bCs/>
          <w:sz w:val="24"/>
          <w:szCs w:val="32"/>
        </w:rPr>
        <w:t>二手交易纠纷</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涉及房地产中介的二手交易投诉案件共363宗。投诉事由排名前三的分别是：</w:t>
      </w:r>
      <w:r>
        <w:rPr>
          <w:rFonts w:hint="eastAsia" w:ascii="宋体" w:hAnsi="宋体" w:cs="宋体"/>
          <w:color w:val="000000" w:themeColor="text1"/>
          <w:sz w:val="24"/>
          <w14:textFill>
            <w14:solidFill>
              <w14:schemeClr w14:val="tx1"/>
            </w14:solidFill>
          </w14:textFill>
        </w:rPr>
        <w:t>①</w:t>
      </w:r>
      <w:r>
        <w:rPr>
          <w:rFonts w:ascii="Times New Roman" w:hAnsi="Times New Roman"/>
          <w:color w:val="000000" w:themeColor="text1"/>
          <w:sz w:val="24"/>
          <w14:textFill>
            <w14:solidFill>
              <w14:schemeClr w14:val="tx1"/>
            </w14:solidFill>
          </w14:textFill>
        </w:rPr>
        <w:t>签约后交易双方未能达成一致或交易当事人一方违约，交易不成功，要求退回定金、中介费、按揭费、诚意金等；</w:t>
      </w:r>
      <w:r>
        <w:rPr>
          <w:rFonts w:hint="eastAsia" w:ascii="宋体" w:hAnsi="宋体" w:cs="宋体"/>
          <w:color w:val="000000" w:themeColor="text1"/>
          <w:sz w:val="24"/>
          <w14:textFill>
            <w14:solidFill>
              <w14:schemeClr w14:val="tx1"/>
            </w14:solidFill>
          </w14:textFill>
        </w:rPr>
        <w:t>②</w:t>
      </w:r>
      <w:r>
        <w:rPr>
          <w:rFonts w:ascii="Times New Roman" w:hAnsi="Times New Roman"/>
          <w:color w:val="000000" w:themeColor="text1"/>
          <w:sz w:val="24"/>
          <w14:textFill>
            <w14:solidFill>
              <w14:schemeClr w14:val="tx1"/>
            </w14:solidFill>
          </w14:textFill>
        </w:rPr>
        <w:t>中介服务不到位，如业务不熟悉、不敦促（或不协助）交易当事人办理按揭、过户、交楼等手续，要求退中介费、按揭费等；</w:t>
      </w:r>
      <w:r>
        <w:rPr>
          <w:rFonts w:hint="eastAsia" w:ascii="宋体" w:hAnsi="宋体" w:cs="宋体"/>
          <w:color w:val="000000" w:themeColor="text1"/>
          <w:sz w:val="24"/>
          <w14:textFill>
            <w14:solidFill>
              <w14:schemeClr w14:val="tx1"/>
            </w14:solidFill>
          </w14:textFill>
        </w:rPr>
        <w:t>③</w:t>
      </w:r>
      <w:r>
        <w:rPr>
          <w:rFonts w:ascii="Times New Roman" w:hAnsi="Times New Roman"/>
          <w:color w:val="000000" w:themeColor="text1"/>
          <w:sz w:val="24"/>
          <w14:textFill>
            <w14:solidFill>
              <w14:schemeClr w14:val="tx1"/>
            </w14:solidFill>
          </w14:textFill>
        </w:rPr>
        <w:t>二次投诉（案件处理进度、案件处理答复不满意、要求书面回复）。以上三种事由合计占二手交易纠纷案件的53.8%。（详见表</w:t>
      </w:r>
      <w:r>
        <w:rPr>
          <w:rFonts w:hint="eastAsia" w:ascii="Times New Roman" w:hAnsi="Times New Roman"/>
          <w:color w:val="000000" w:themeColor="text1"/>
          <w:sz w:val="24"/>
          <w14:textFill>
            <w14:solidFill>
              <w14:schemeClr w14:val="tx1"/>
            </w14:solidFill>
          </w14:textFill>
        </w:rPr>
        <w:t>9</w:t>
      </w:r>
      <w:r>
        <w:rPr>
          <w:rFonts w:ascii="Times New Roman" w:hAnsi="Times New Roman"/>
          <w:color w:val="000000" w:themeColor="text1"/>
          <w:sz w:val="24"/>
          <w14:textFill>
            <w14:solidFill>
              <w14:schemeClr w14:val="tx1"/>
            </w14:solidFill>
          </w14:textFill>
        </w:rPr>
        <w:t>）</w:t>
      </w:r>
    </w:p>
    <w:p>
      <w:pPr>
        <w:numPr>
          <w:ilvl w:val="255"/>
          <w:numId w:val="0"/>
        </w:numPr>
        <w:snapToGrid w:val="0"/>
        <w:spacing w:line="360" w:lineRule="auto"/>
        <w:ind w:firstLine="42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注：二次投诉主要是指消费者对案件处理部门的初次处理回复不满意，认为问题未解决。同时，有部分消费者在短时间内（案件未到规定办结时间）多次通过热线反映问题，造成重复立案。</w:t>
      </w:r>
    </w:p>
    <w:p>
      <w:pPr>
        <w:spacing w:line="360" w:lineRule="auto"/>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w:t>
      </w:r>
      <w:r>
        <w:rPr>
          <w:rFonts w:hint="eastAsia" w:ascii="Times New Roman" w:hAnsi="Times New Roman"/>
          <w:color w:val="000000" w:themeColor="text1"/>
          <w14:textFill>
            <w14:solidFill>
              <w14:schemeClr w14:val="tx1"/>
            </w14:solidFill>
          </w14:textFill>
        </w:rPr>
        <w:t>9</w:t>
      </w:r>
      <w:r>
        <w:rPr>
          <w:rFonts w:ascii="Times New Roman" w:hAnsi="Times New Roman"/>
          <w:color w:val="000000" w:themeColor="text1"/>
          <w14:textFill>
            <w14:solidFill>
              <w14:schemeClr w14:val="tx1"/>
            </w14:solidFill>
          </w14:textFill>
        </w:rPr>
        <w:t xml:space="preserve">  房地产中介涉及二手交易案件事由分析</w:t>
      </w:r>
    </w:p>
    <w:tbl>
      <w:tblPr>
        <w:tblStyle w:val="19"/>
        <w:tblW w:w="9227" w:type="dxa"/>
        <w:jc w:val="center"/>
        <w:tblLayout w:type="fixed"/>
        <w:tblCellMar>
          <w:top w:w="0" w:type="dxa"/>
          <w:left w:w="0" w:type="dxa"/>
          <w:bottom w:w="0" w:type="dxa"/>
          <w:right w:w="0" w:type="dxa"/>
        </w:tblCellMar>
      </w:tblPr>
      <w:tblGrid>
        <w:gridCol w:w="709"/>
        <w:gridCol w:w="5544"/>
        <w:gridCol w:w="641"/>
        <w:gridCol w:w="622"/>
        <w:gridCol w:w="845"/>
        <w:gridCol w:w="866"/>
      </w:tblGrid>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序号</w:t>
            </w: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事由分类</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热线数量</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信访数量</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总数</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占比</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签约后交易双方未能达成一致或交易当事人一方违约，交易不成功，要求退回定金、中介费、按揭费、诚意金等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82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22.6%</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中介服务不到位：如业务不熟悉、不敦促（或不协助）交易当事人办理按揭、过户、交楼等手续，要求退中介费、按揭费等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69</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19.6%</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二次投诉（案件处理进度、案件处理答复不满意、要求书面回复）</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42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11.6%</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中介乱收费：收费项目标准不透明，强制或捆绑收费，或未按中介服务合同约定收取中介服务费、收取合同约定以外的费用等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33</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35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9.6%</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隐瞒或提供虚假、错误的房屋交易信息（如：学位、交易税费、贷款年限、贷款金额、贷款审批放款时限、房屋质量、噪音问题等）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35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9.6%</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未核查或隐瞒交易房屋真实情况（如:楼龄、建筑结构、共有情况、土地出让金、户口占用、房屋存在抵押、凶宅、房屋存在违章、房屋性质）</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17</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19</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5.2%</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违反网签规则操作网签系统（擅自制作、变更、撤下网签或不配合撤下网签）</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15</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18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5.0%</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虚假口头承诺，签约后无法兑现，要求退中介费、定金等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16</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4.4%</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违反限售限购限贷政策提供中介服务（如：未审查或明知买方无购房资格、零首付或首付不足三成、协助或诱导当事人提供虚假购房证明材料等、房屋</w:t>
            </w:r>
            <w:r>
              <w:rPr>
                <w:rFonts w:hint="eastAsia" w:ascii="Times New Roman" w:hAnsi="Times New Roman" w:eastAsia="仿宋"/>
                <w:kern w:val="0"/>
                <w:sz w:val="24"/>
                <w:szCs w:val="24"/>
              </w:rPr>
              <w:t>不</w:t>
            </w:r>
            <w:r>
              <w:rPr>
                <w:rFonts w:ascii="Times New Roman" w:hAnsi="Times New Roman" w:eastAsia="仿宋"/>
                <w:kern w:val="0"/>
                <w:sz w:val="24"/>
                <w:szCs w:val="24"/>
              </w:rPr>
              <w:t>具备出售条件）</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9</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2.5%</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房地产中介机构（或从业人员）代收代管存量房交易资金</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2.2%</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隐瞒房屋真实放盘价格（如：以差价全部或部分作中介费、抬高房屋出售价格等）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7</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1.9%</w:t>
            </w:r>
          </w:p>
        </w:tc>
      </w:tr>
      <w:tr>
        <w:tblPrEx>
          <w:tblCellMar>
            <w:top w:w="0" w:type="dxa"/>
            <w:left w:w="0" w:type="dxa"/>
            <w:bottom w:w="0" w:type="dxa"/>
            <w:right w:w="0" w:type="dxa"/>
          </w:tblCellMar>
        </w:tblPrEx>
        <w:trPr>
          <w:trHeight w:val="2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协助制作不同价款合同（如：为少交税或获得更多贷款等）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1.4%</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发布虚假或禁止交易的房源信息广告（如：房源不存在，未受业主委托放盘、发布房源信息与实际情况不符、小产权房等）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中介服务态度差：骚扰、恐吓、谩骂客户（含电话、短信、微信等）；违背消费者意愿提供中介服务（经纪人不分时段拨打、违背消费者意愿反复拨打和经纪人态度不好、强制带客看楼）</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3</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0.8%</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从业人员私自收取中介服务费</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3</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0.8%</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中介机构或从业人员未兑现返佣承诺</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0.6%</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未核查房屋出售人（或出租人）处分权</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0.6%</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为法律禁止交易的房屋提供中介服务（如：已查封、小产权房、公租房等）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0.3%</w:t>
            </w:r>
          </w:p>
        </w:tc>
      </w:tr>
      <w:tr>
        <w:tblPrEx>
          <w:tblCellMar>
            <w:top w:w="0" w:type="dxa"/>
            <w:left w:w="0" w:type="dxa"/>
            <w:bottom w:w="0" w:type="dxa"/>
            <w:right w:w="0" w:type="dxa"/>
          </w:tblCellMar>
        </w:tblPrEx>
        <w:trPr>
          <w:trHeight w:val="287"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2"/>
              </w:numPr>
              <w:spacing w:line="276" w:lineRule="auto"/>
              <w:jc w:val="center"/>
              <w:textAlignment w:val="center"/>
              <w:rPr>
                <w:rFonts w:ascii="Times New Roman" w:hAnsi="Times New Roman" w:eastAsia="仿宋"/>
                <w:kern w:val="0"/>
                <w:sz w:val="24"/>
                <w:szCs w:val="24"/>
              </w:rPr>
            </w:pPr>
          </w:p>
        </w:tc>
        <w:tc>
          <w:tcPr>
            <w:tcW w:w="55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冒签交易当事人姓名、擅自修改合同、擅自出租房屋等</w:t>
            </w:r>
            <w:r>
              <w:rPr>
                <w:rFonts w:hint="eastAsia" w:ascii="Times New Roman" w:hAnsi="Times New Roman" w:eastAsia="仿宋"/>
                <w:kern w:val="0"/>
                <w:sz w:val="24"/>
                <w:szCs w:val="24"/>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0.3%</w:t>
            </w:r>
          </w:p>
        </w:tc>
      </w:tr>
      <w:tr>
        <w:tblPrEx>
          <w:tblCellMar>
            <w:top w:w="0" w:type="dxa"/>
            <w:left w:w="0" w:type="dxa"/>
            <w:bottom w:w="0" w:type="dxa"/>
            <w:right w:w="0" w:type="dxa"/>
          </w:tblCellMar>
        </w:tblPrEx>
        <w:trPr>
          <w:trHeight w:val="23" w:hRule="atLeast"/>
          <w:jc w:val="center"/>
        </w:trPr>
        <w:tc>
          <w:tcPr>
            <w:tcW w:w="6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rPr>
                <w:rFonts w:ascii="Times New Roman" w:hAnsi="Times New Roman" w:eastAsia="仿宋"/>
                <w:b/>
                <w:bCs/>
                <w:sz w:val="24"/>
                <w:szCs w:val="24"/>
              </w:rPr>
            </w:pPr>
            <w:r>
              <w:rPr>
                <w:rFonts w:ascii="Times New Roman" w:hAnsi="Times New Roman" w:eastAsia="仿宋"/>
                <w:b/>
                <w:bCs/>
                <w:sz w:val="24"/>
                <w:szCs w:val="24"/>
              </w:rPr>
              <w:t>合计</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b/>
                <w:bCs/>
                <w:sz w:val="24"/>
                <w:szCs w:val="24"/>
              </w:rPr>
            </w:pPr>
            <w:r>
              <w:rPr>
                <w:rFonts w:ascii="Times New Roman" w:hAnsi="Times New Roman" w:eastAsia="仿宋"/>
                <w:b/>
                <w:bCs/>
                <w:kern w:val="0"/>
                <w:sz w:val="24"/>
                <w:szCs w:val="24"/>
              </w:rPr>
              <w:t>341</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b/>
                <w:bCs/>
                <w:sz w:val="24"/>
                <w:szCs w:val="24"/>
              </w:rPr>
            </w:pPr>
            <w:r>
              <w:rPr>
                <w:rFonts w:ascii="Times New Roman" w:hAnsi="Times New Roman" w:eastAsia="仿宋"/>
                <w:b/>
                <w:bCs/>
                <w:kern w:val="0"/>
                <w:sz w:val="24"/>
                <w:szCs w:val="24"/>
              </w:rPr>
              <w:t>22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Times New Roman" w:hAnsi="Times New Roman" w:eastAsia="仿宋"/>
                <w:b/>
                <w:bCs/>
                <w:sz w:val="24"/>
                <w:szCs w:val="24"/>
              </w:rPr>
            </w:pPr>
            <w:r>
              <w:rPr>
                <w:rFonts w:ascii="Times New Roman" w:hAnsi="Times New Roman" w:eastAsia="仿宋"/>
                <w:b/>
                <w:bCs/>
                <w:kern w:val="0"/>
                <w:sz w:val="24"/>
                <w:szCs w:val="24"/>
              </w:rPr>
              <w:t>363</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rPr>
                <w:rFonts w:ascii="Times New Roman" w:hAnsi="Times New Roman" w:eastAsia="仿宋"/>
                <w:b/>
                <w:bCs/>
                <w:sz w:val="24"/>
                <w:szCs w:val="24"/>
              </w:rPr>
            </w:pPr>
            <w:r>
              <w:rPr>
                <w:rFonts w:hint="eastAsia" w:ascii="Times New Roman" w:hAnsi="Times New Roman" w:eastAsia="仿宋"/>
                <w:b/>
                <w:bCs/>
                <w:sz w:val="24"/>
                <w:szCs w:val="24"/>
              </w:rPr>
              <w:t>100.0%</w:t>
            </w:r>
          </w:p>
        </w:tc>
      </w:tr>
    </w:tbl>
    <w:p>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bookmarkStart w:id="98" w:name="_Toc25659"/>
      <w:bookmarkStart w:id="99" w:name="_Toc24700"/>
      <w:bookmarkStart w:id="100" w:name="_Toc27443"/>
      <w:bookmarkStart w:id="101" w:name="_Toc127875409"/>
      <w:bookmarkStart w:id="102" w:name="_Toc25726"/>
      <w:bookmarkStart w:id="103" w:name="_Toc13127"/>
      <w:bookmarkStart w:id="104" w:name="_Toc9357"/>
      <w:bookmarkStart w:id="105" w:name="_Toc28665"/>
      <w:bookmarkStart w:id="106" w:name="_Toc24554"/>
      <w:bookmarkStart w:id="107" w:name="_Toc9460"/>
      <w:bookmarkStart w:id="108" w:name="_Toc11907"/>
      <w:bookmarkStart w:id="109" w:name="_Toc7497"/>
      <w:bookmarkStart w:id="110" w:name="_Toc21692"/>
      <w:bookmarkStart w:id="111" w:name="_Toc30954"/>
      <w:bookmarkStart w:id="112" w:name="_Toc128753706"/>
      <w:bookmarkStart w:id="113" w:name="_Toc27933"/>
      <w:bookmarkStart w:id="114" w:name="_Toc27826"/>
      <w:bookmarkStart w:id="115" w:name="_Toc19071"/>
      <w:bookmarkStart w:id="116" w:name="_Toc121991218"/>
      <w:bookmarkStart w:id="117" w:name="_Toc9378"/>
      <w:bookmarkStart w:id="118" w:name="_Toc29166"/>
      <w:bookmarkStart w:id="119" w:name="_Toc6911"/>
      <w:bookmarkStart w:id="120" w:name="_Toc762"/>
      <w:bookmarkStart w:id="121" w:name="_Toc22933"/>
      <w:bookmarkStart w:id="122" w:name="_Toc30121"/>
      <w:bookmarkStart w:id="123" w:name="_Toc128564714"/>
      <w:bookmarkStart w:id="124" w:name="_Toc27935"/>
      <w:bookmarkStart w:id="125" w:name="_Toc3324"/>
      <w:bookmarkStart w:id="126" w:name="_Toc9839"/>
      <w:r>
        <w:rPr>
          <w:rFonts w:ascii="Times New Roman" w:hAnsi="Times New Roman" w:eastAsiaTheme="minorEastAsia"/>
          <w:color w:val="000000" w:themeColor="text1"/>
          <w:szCs w:val="28"/>
          <w14:textFill>
            <w14:solidFill>
              <w14:schemeClr w14:val="tx1"/>
            </w14:solidFill>
          </w14:textFill>
        </w:rPr>
        <w:t>数据来源：</w:t>
      </w:r>
      <w:r>
        <w:rPr>
          <w:rFonts w:hint="eastAsia" w:ascii="Times New Roman" w:hAnsi="Times New Roman" w:eastAsiaTheme="minorEastAsia"/>
          <w:color w:val="000000" w:themeColor="text1"/>
          <w:szCs w:val="28"/>
          <w14:textFill>
            <w14:solidFill>
              <w14:schemeClr w14:val="tx1"/>
            </w14:solidFill>
          </w14:textFill>
        </w:rPr>
        <w:t>广州</w:t>
      </w:r>
      <w:r>
        <w:rPr>
          <w:rFonts w:ascii="Times New Roman" w:hAnsi="Times New Roman" w:eastAsiaTheme="minorEastAsia"/>
          <w:color w:val="000000" w:themeColor="text1"/>
          <w:szCs w:val="28"/>
          <w14:textFill>
            <w14:solidFill>
              <w14:schemeClr w14:val="tx1"/>
            </w14:solidFill>
          </w14:textFill>
        </w:rPr>
        <w:t>市</w:t>
      </w:r>
      <w:r>
        <w:rPr>
          <w:rFonts w:hint="eastAsia" w:ascii="Times New Roman" w:hAnsi="Times New Roman" w:eastAsiaTheme="minorEastAsia"/>
          <w:color w:val="000000" w:themeColor="text1"/>
          <w:szCs w:val="28"/>
          <w14:textFill>
            <w14:solidFill>
              <w14:schemeClr w14:val="tx1"/>
            </w14:solidFill>
          </w14:textFill>
        </w:rPr>
        <w:t>房屋交易监管</w:t>
      </w:r>
      <w:r>
        <w:rPr>
          <w:rFonts w:ascii="Times New Roman" w:hAnsi="Times New Roman" w:eastAsiaTheme="minorEastAsia"/>
          <w:color w:val="000000" w:themeColor="text1"/>
          <w:szCs w:val="28"/>
          <w14:textFill>
            <w14:solidFill>
              <w14:schemeClr w14:val="tx1"/>
            </w14:solidFill>
          </w14:textFill>
        </w:rPr>
        <w:t>中心</w:t>
      </w:r>
    </w:p>
    <w:p>
      <w:pPr>
        <w:numPr>
          <w:ilvl w:val="255"/>
          <w:numId w:val="0"/>
        </w:numPr>
        <w:spacing w:line="360" w:lineRule="auto"/>
        <w:ind w:firstLine="481" w:firstLineChars="200"/>
        <w:jc w:val="left"/>
        <w:outlineLvl w:val="1"/>
        <w:rPr>
          <w:rFonts w:ascii="Times New Roman" w:hAnsi="Times New Roman"/>
          <w:b/>
          <w:bCs/>
          <w:sz w:val="24"/>
          <w:szCs w:val="32"/>
        </w:rPr>
      </w:pPr>
      <w:bookmarkStart w:id="127" w:name="_Toc129694231"/>
      <w:bookmarkStart w:id="128" w:name="_Toc129785104"/>
      <w:bookmarkStart w:id="129" w:name="_Toc129694161"/>
      <w:bookmarkStart w:id="130" w:name="_Toc129769282"/>
      <w:r>
        <w:rPr>
          <w:rFonts w:hint="eastAsia" w:ascii="Times New Roman" w:hAnsi="Times New Roman"/>
          <w:b/>
          <w:bCs/>
          <w:sz w:val="24"/>
          <w:szCs w:val="32"/>
        </w:rPr>
        <w:t>3、</w:t>
      </w:r>
      <w:r>
        <w:rPr>
          <w:rFonts w:ascii="Times New Roman" w:hAnsi="Times New Roman"/>
          <w:b/>
          <w:bCs/>
          <w:sz w:val="24"/>
          <w:szCs w:val="32"/>
        </w:rPr>
        <w:t>房屋租赁纠纷</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反映与房屋租赁相关的投诉案件共189宗。其中，消费者反映最多的是“租赁一方提出取消交易或交易双方自行终止租赁合同，请求协助退费（如诚意金、押金、租金、中介费等）”，共93宗，占比近50%。（详见表1</w:t>
      </w:r>
      <w:r>
        <w:rPr>
          <w:rFonts w:hint="eastAsia" w:ascii="Times New Roman" w:hAnsi="Times New Roman"/>
          <w:color w:val="000000" w:themeColor="text1"/>
          <w:sz w:val="24"/>
          <w14:textFill>
            <w14:solidFill>
              <w14:schemeClr w14:val="tx1"/>
            </w14:solidFill>
          </w14:textFill>
        </w:rPr>
        <w:t>0</w:t>
      </w:r>
      <w:r>
        <w:rPr>
          <w:rFonts w:ascii="Times New Roman" w:hAnsi="Times New Roman"/>
          <w:color w:val="000000" w:themeColor="text1"/>
          <w:sz w:val="24"/>
          <w14:textFill>
            <w14:solidFill>
              <w14:schemeClr w14:val="tx1"/>
            </w14:solidFill>
          </w14:textFill>
        </w:rPr>
        <w:t>）</w:t>
      </w:r>
    </w:p>
    <w:p>
      <w:pPr>
        <w:spacing w:line="360" w:lineRule="auto"/>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表1</w:t>
      </w:r>
      <w:r>
        <w:rPr>
          <w:rFonts w:hint="eastAsia" w:ascii="Times New Roman" w:hAnsi="Times New Roman"/>
          <w:color w:val="000000" w:themeColor="text1"/>
          <w14:textFill>
            <w14:solidFill>
              <w14:schemeClr w14:val="tx1"/>
            </w14:solidFill>
          </w14:textFill>
        </w:rPr>
        <w:t>0</w:t>
      </w:r>
      <w:r>
        <w:rPr>
          <w:rFonts w:ascii="Times New Roman" w:hAnsi="Times New Roman"/>
          <w:color w:val="000000" w:themeColor="text1"/>
          <w14:textFill>
            <w14:solidFill>
              <w14:schemeClr w14:val="tx1"/>
            </w14:solidFill>
          </w14:textFill>
        </w:rPr>
        <w:t xml:space="preserve">  房地产中介涉及房屋租赁案件事由分析</w:t>
      </w:r>
    </w:p>
    <w:tbl>
      <w:tblPr>
        <w:tblStyle w:val="19"/>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6"/>
        <w:gridCol w:w="6042"/>
        <w:gridCol w:w="600"/>
        <w:gridCol w:w="586"/>
        <w:gridCol w:w="723"/>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序号</w:t>
            </w:r>
          </w:p>
        </w:tc>
        <w:tc>
          <w:tcPr>
            <w:tcW w:w="6042" w:type="dxa"/>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事由分类</w:t>
            </w:r>
          </w:p>
        </w:tc>
        <w:tc>
          <w:tcPr>
            <w:tcW w:w="600" w:type="dxa"/>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热线数量</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586" w:type="dxa"/>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信访数量（宗）</w:t>
            </w:r>
          </w:p>
        </w:tc>
        <w:tc>
          <w:tcPr>
            <w:tcW w:w="723" w:type="dxa"/>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总数（宗）</w:t>
            </w:r>
          </w:p>
        </w:tc>
        <w:tc>
          <w:tcPr>
            <w:tcW w:w="853" w:type="dxa"/>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1</w:t>
            </w:r>
          </w:p>
        </w:tc>
        <w:tc>
          <w:tcPr>
            <w:tcW w:w="6042" w:type="dxa"/>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租赁一方提出取消交易或交易双方自行终止租赁合同，请求协助退费（如诚意金、押金、租金、中介费等）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93</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93</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2</w:t>
            </w:r>
          </w:p>
        </w:tc>
        <w:tc>
          <w:tcPr>
            <w:tcW w:w="6042" w:type="dxa"/>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中介服务不到位（如未协助办理租赁备案、未完成委托事项等）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34</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34</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3</w:t>
            </w:r>
          </w:p>
        </w:tc>
        <w:tc>
          <w:tcPr>
            <w:tcW w:w="6042" w:type="dxa"/>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中介乱收费：收费项目标准不透明，强制或捆绑收费，或未按中介服务合同约定收取中介服务费、收取合同约定以外的费用等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15</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15</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4</w:t>
            </w:r>
          </w:p>
        </w:tc>
        <w:tc>
          <w:tcPr>
            <w:tcW w:w="6042" w:type="dxa"/>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隐瞒或提供虚假、错误的房屋交易信息（如：房屋存在渗漏、甲醛超标、噪音问题、房屋面积、存在违建等）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5</w:t>
            </w:r>
          </w:p>
        </w:tc>
        <w:tc>
          <w:tcPr>
            <w:tcW w:w="6042" w:type="dxa"/>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二次投诉（案件处理进度、案件处理答复不满意、要求书面回复）</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6</w:t>
            </w:r>
          </w:p>
        </w:tc>
        <w:tc>
          <w:tcPr>
            <w:tcW w:w="6042" w:type="dxa"/>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虚假口头承诺(配备家电、能短期内转租成功等），签约后无法兑现，要求退中介费、定金等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7</w:t>
            </w:r>
          </w:p>
        </w:tc>
        <w:tc>
          <w:tcPr>
            <w:tcW w:w="6042" w:type="dxa"/>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未核查房屋出售人（或出租人）处分权</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8</w:t>
            </w:r>
          </w:p>
        </w:tc>
        <w:tc>
          <w:tcPr>
            <w:tcW w:w="6042" w:type="dxa"/>
            <w:shd w:val="clear" w:color="auto" w:fill="auto"/>
            <w:vAlign w:val="center"/>
          </w:tcPr>
          <w:p>
            <w:pPr>
              <w:widowControl/>
              <w:spacing w:line="276" w:lineRule="auto"/>
              <w:jc w:val="left"/>
              <w:textAlignment w:val="center"/>
              <w:rPr>
                <w:rFonts w:ascii="Times New Roman" w:hAnsi="Times New Roman" w:eastAsia="仿宋"/>
                <w:sz w:val="24"/>
                <w:szCs w:val="24"/>
              </w:rPr>
            </w:pPr>
            <w:r>
              <w:rPr>
                <w:rFonts w:ascii="Times New Roman" w:hAnsi="Times New Roman" w:eastAsia="仿宋"/>
                <w:kern w:val="0"/>
                <w:sz w:val="24"/>
                <w:szCs w:val="24"/>
              </w:rPr>
              <w:t>隐瞒房屋真实放盘价格（如：以差价全部或部分作中介费、抬高房屋出租价格等）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6042" w:type="dxa"/>
            <w:shd w:val="clear" w:color="auto" w:fill="auto"/>
            <w:vAlign w:val="center"/>
          </w:tcPr>
          <w:p>
            <w:pPr>
              <w:widowControl/>
              <w:spacing w:line="276" w:lineRule="auto"/>
              <w:textAlignment w:val="center"/>
              <w:rPr>
                <w:rFonts w:ascii="Times New Roman" w:hAnsi="Times New Roman" w:eastAsia="仿宋"/>
                <w:kern w:val="0"/>
                <w:sz w:val="24"/>
                <w:szCs w:val="24"/>
              </w:rPr>
            </w:pPr>
            <w:r>
              <w:rPr>
                <w:rFonts w:ascii="Times New Roman" w:hAnsi="Times New Roman" w:eastAsia="仿宋"/>
                <w:kern w:val="0"/>
                <w:sz w:val="24"/>
                <w:szCs w:val="24"/>
              </w:rPr>
              <w:t>发布虚假或禁止交易的房源信息广告（如：房源不存在，未受业主委托放盘、发布房源信息与实际情况不符、小产权房等）</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10</w:t>
            </w:r>
          </w:p>
        </w:tc>
        <w:tc>
          <w:tcPr>
            <w:tcW w:w="6042" w:type="dxa"/>
            <w:shd w:val="clear" w:color="auto" w:fill="auto"/>
            <w:vAlign w:val="center"/>
          </w:tcPr>
          <w:p>
            <w:pPr>
              <w:widowControl/>
              <w:spacing w:line="276" w:lineRule="auto"/>
              <w:textAlignment w:val="center"/>
              <w:rPr>
                <w:rFonts w:ascii="Times New Roman" w:hAnsi="Times New Roman" w:eastAsia="仿宋"/>
                <w:kern w:val="0"/>
                <w:sz w:val="24"/>
                <w:szCs w:val="24"/>
              </w:rPr>
            </w:pPr>
            <w:r>
              <w:rPr>
                <w:rFonts w:ascii="Times New Roman" w:hAnsi="Times New Roman" w:eastAsia="仿宋"/>
                <w:kern w:val="0"/>
                <w:sz w:val="24"/>
                <w:szCs w:val="24"/>
              </w:rPr>
              <w:t>未核查或隐瞒交易房屋真实情况（如产权人信息、存在查封）</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6042" w:type="dxa"/>
            <w:shd w:val="clear" w:color="auto" w:fill="auto"/>
            <w:vAlign w:val="center"/>
          </w:tcPr>
          <w:p>
            <w:pPr>
              <w:widowControl/>
              <w:spacing w:line="276" w:lineRule="auto"/>
              <w:textAlignment w:val="center"/>
              <w:rPr>
                <w:rFonts w:ascii="Times New Roman" w:hAnsi="Times New Roman" w:eastAsia="仿宋"/>
                <w:kern w:val="0"/>
                <w:sz w:val="24"/>
                <w:szCs w:val="24"/>
              </w:rPr>
            </w:pPr>
            <w:r>
              <w:rPr>
                <w:rFonts w:ascii="Times New Roman" w:hAnsi="Times New Roman" w:eastAsia="仿宋"/>
                <w:kern w:val="0"/>
                <w:sz w:val="24"/>
                <w:szCs w:val="24"/>
              </w:rPr>
              <w:t>发布虚假或禁止交易的房源信息广告（如：房源不存在，发布房源信息与实际情况不符）</w:t>
            </w:r>
            <w:r>
              <w:rPr>
                <w:rFonts w:hint="eastAsia" w:ascii="Times New Roman" w:hAnsi="Times New Roman" w:eastAsia="仿宋"/>
                <w:kern w:val="0"/>
                <w:sz w:val="24"/>
                <w:szCs w:val="24"/>
              </w:rPr>
              <w:t>。</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12</w:t>
            </w:r>
          </w:p>
        </w:tc>
        <w:tc>
          <w:tcPr>
            <w:tcW w:w="6042" w:type="dxa"/>
            <w:shd w:val="clear" w:color="auto" w:fill="auto"/>
            <w:vAlign w:val="center"/>
          </w:tcPr>
          <w:p>
            <w:pPr>
              <w:widowControl/>
              <w:spacing w:line="276" w:lineRule="auto"/>
              <w:jc w:val="left"/>
              <w:textAlignment w:val="center"/>
              <w:rPr>
                <w:rFonts w:ascii="Times New Roman" w:hAnsi="Times New Roman" w:eastAsia="仿宋"/>
                <w:kern w:val="0"/>
                <w:sz w:val="24"/>
                <w:szCs w:val="24"/>
              </w:rPr>
            </w:pPr>
            <w:r>
              <w:rPr>
                <w:rFonts w:hint="eastAsia" w:ascii="Times New Roman" w:hAnsi="Times New Roman" w:eastAsia="仿宋"/>
                <w:kern w:val="0"/>
                <w:sz w:val="24"/>
                <w:szCs w:val="24"/>
              </w:rPr>
              <w:t>房地产中介机构（或从业人员）代收代管定金。</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sz w:val="24"/>
                <w:szCs w:val="24"/>
              </w:rPr>
            </w:pPr>
            <w:r>
              <w:rPr>
                <w:rFonts w:ascii="Times New Roman" w:hAnsi="Times New Roman" w:eastAsia="仿宋"/>
                <w:kern w:val="0"/>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628" w:type="dxa"/>
            <w:gridSpan w:val="2"/>
            <w:shd w:val="clear" w:color="auto"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合计</w:t>
            </w:r>
          </w:p>
        </w:tc>
        <w:tc>
          <w:tcPr>
            <w:tcW w:w="600" w:type="dxa"/>
            <w:shd w:val="clear" w:color="auto"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188</w:t>
            </w:r>
          </w:p>
        </w:tc>
        <w:tc>
          <w:tcPr>
            <w:tcW w:w="586" w:type="dxa"/>
            <w:shd w:val="clear" w:color="auto"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w:t>
            </w:r>
          </w:p>
        </w:tc>
        <w:tc>
          <w:tcPr>
            <w:tcW w:w="723" w:type="dxa"/>
            <w:shd w:val="clear" w:color="auto" w:fill="auto"/>
            <w:noWrap/>
            <w:vAlign w:val="center"/>
          </w:tcPr>
          <w:p>
            <w:pPr>
              <w:widowControl/>
              <w:spacing w:line="276" w:lineRule="auto"/>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189</w:t>
            </w:r>
          </w:p>
        </w:tc>
        <w:tc>
          <w:tcPr>
            <w:tcW w:w="853" w:type="dxa"/>
            <w:shd w:val="clear" w:color="auto" w:fill="auto"/>
            <w:noWrap/>
            <w:vAlign w:val="center"/>
          </w:tcPr>
          <w:p>
            <w:pPr>
              <w:widowControl/>
              <w:spacing w:line="276" w:lineRule="auto"/>
              <w:jc w:val="center"/>
              <w:textAlignment w:val="center"/>
              <w:rPr>
                <w:rFonts w:ascii="Times New Roman" w:hAnsi="Times New Roman" w:eastAsia="仿宋"/>
                <w:b/>
                <w:kern w:val="0"/>
                <w:sz w:val="24"/>
                <w:szCs w:val="24"/>
              </w:rPr>
            </w:pPr>
            <w:r>
              <w:rPr>
                <w:rFonts w:ascii="Times New Roman" w:hAnsi="Times New Roman" w:eastAsia="仿宋"/>
                <w:b/>
                <w:kern w:val="0"/>
                <w:sz w:val="24"/>
                <w:szCs w:val="24"/>
              </w:rPr>
              <w:t>100.0%</w:t>
            </w:r>
          </w:p>
        </w:tc>
      </w:tr>
    </w:tbl>
    <w:p>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bookmarkStart w:id="131" w:name="_Toc28671"/>
      <w:bookmarkStart w:id="132" w:name="_Toc128753707"/>
      <w:bookmarkStart w:id="133" w:name="_Toc12692"/>
      <w:bookmarkStart w:id="134" w:name="_Toc2173"/>
      <w:bookmarkStart w:id="135" w:name="_Toc695"/>
      <w:bookmarkStart w:id="136" w:name="_Toc31147"/>
      <w:bookmarkStart w:id="137" w:name="_Toc127875410"/>
      <w:bookmarkStart w:id="138" w:name="_Toc19899"/>
      <w:bookmarkStart w:id="139" w:name="_Toc18301"/>
      <w:bookmarkStart w:id="140" w:name="_Toc121991219"/>
      <w:bookmarkStart w:id="141" w:name="_Toc29903"/>
      <w:bookmarkStart w:id="142" w:name="_Toc9210"/>
      <w:bookmarkStart w:id="143" w:name="_Toc27146"/>
      <w:bookmarkStart w:id="144" w:name="_Toc15285"/>
      <w:bookmarkStart w:id="145" w:name="_Toc18340"/>
      <w:bookmarkStart w:id="146" w:name="_Toc8471"/>
      <w:bookmarkStart w:id="147" w:name="_Toc128564715"/>
      <w:bookmarkStart w:id="148" w:name="_Toc8649"/>
      <w:bookmarkStart w:id="149" w:name="_Toc19740"/>
      <w:bookmarkStart w:id="150" w:name="_Toc8001"/>
      <w:bookmarkStart w:id="151" w:name="_Toc31998"/>
      <w:bookmarkStart w:id="152" w:name="_Toc1587"/>
      <w:bookmarkStart w:id="153" w:name="_Toc16629"/>
      <w:bookmarkStart w:id="154" w:name="_Toc28185"/>
      <w:bookmarkStart w:id="155" w:name="_Toc2164"/>
      <w:bookmarkStart w:id="156" w:name="_Toc8526"/>
      <w:bookmarkStart w:id="157" w:name="_Toc25986"/>
      <w:bookmarkStart w:id="158" w:name="_Toc16140"/>
      <w:bookmarkStart w:id="159" w:name="_Toc28349"/>
      <w:r>
        <w:rPr>
          <w:rFonts w:ascii="Times New Roman" w:hAnsi="Times New Roman" w:eastAsiaTheme="minorEastAsia"/>
          <w:color w:val="000000" w:themeColor="text1"/>
          <w:szCs w:val="28"/>
          <w14:textFill>
            <w14:solidFill>
              <w14:schemeClr w14:val="tx1"/>
            </w14:solidFill>
          </w14:textFill>
        </w:rPr>
        <w:t>数据来源：</w:t>
      </w:r>
      <w:r>
        <w:rPr>
          <w:rFonts w:hint="eastAsia" w:ascii="Times New Roman" w:hAnsi="Times New Roman" w:eastAsiaTheme="minorEastAsia"/>
          <w:color w:val="000000" w:themeColor="text1"/>
          <w:szCs w:val="28"/>
          <w14:textFill>
            <w14:solidFill>
              <w14:schemeClr w14:val="tx1"/>
            </w14:solidFill>
          </w14:textFill>
        </w:rPr>
        <w:t>广州</w:t>
      </w:r>
      <w:r>
        <w:rPr>
          <w:rFonts w:ascii="Times New Roman" w:hAnsi="Times New Roman" w:eastAsiaTheme="minorEastAsia"/>
          <w:color w:val="000000" w:themeColor="text1"/>
          <w:szCs w:val="28"/>
          <w14:textFill>
            <w14:solidFill>
              <w14:schemeClr w14:val="tx1"/>
            </w14:solidFill>
          </w14:textFill>
        </w:rPr>
        <w:t>市</w:t>
      </w:r>
      <w:r>
        <w:rPr>
          <w:rFonts w:hint="eastAsia" w:ascii="Times New Roman" w:hAnsi="Times New Roman" w:eastAsiaTheme="minorEastAsia"/>
          <w:color w:val="000000" w:themeColor="text1"/>
          <w:szCs w:val="28"/>
          <w14:textFill>
            <w14:solidFill>
              <w14:schemeClr w14:val="tx1"/>
            </w14:solidFill>
          </w14:textFill>
        </w:rPr>
        <w:t>房屋交易监管</w:t>
      </w:r>
      <w:r>
        <w:rPr>
          <w:rFonts w:ascii="Times New Roman" w:hAnsi="Times New Roman" w:eastAsiaTheme="minorEastAsia"/>
          <w:color w:val="000000" w:themeColor="text1"/>
          <w:szCs w:val="28"/>
          <w14:textFill>
            <w14:solidFill>
              <w14:schemeClr w14:val="tx1"/>
            </w14:solidFill>
          </w14:textFill>
        </w:rPr>
        <w:t>中心</w:t>
      </w:r>
    </w:p>
    <w:p>
      <w:pPr>
        <w:numPr>
          <w:ilvl w:val="255"/>
          <w:numId w:val="0"/>
        </w:numPr>
        <w:spacing w:line="360" w:lineRule="auto"/>
        <w:ind w:firstLine="481" w:firstLineChars="200"/>
        <w:jc w:val="left"/>
        <w:outlineLvl w:val="1"/>
        <w:rPr>
          <w:rFonts w:ascii="Times New Roman" w:hAnsi="Times New Roman"/>
          <w:b/>
          <w:bCs/>
          <w:sz w:val="24"/>
          <w:szCs w:val="32"/>
        </w:rPr>
      </w:pPr>
      <w:bookmarkStart w:id="160" w:name="_Toc129769283"/>
      <w:bookmarkStart w:id="161" w:name="_Toc129694162"/>
      <w:bookmarkStart w:id="162" w:name="_Toc129785105"/>
      <w:bookmarkStart w:id="163" w:name="_Toc129694232"/>
      <w:r>
        <w:rPr>
          <w:rFonts w:hint="eastAsia" w:ascii="Times New Roman" w:hAnsi="Times New Roman"/>
          <w:b/>
          <w:bCs/>
          <w:sz w:val="24"/>
          <w:szCs w:val="32"/>
        </w:rPr>
        <w:t>4、</w:t>
      </w:r>
      <w:r>
        <w:rPr>
          <w:rFonts w:ascii="Times New Roman" w:hAnsi="Times New Roman"/>
          <w:b/>
          <w:bCs/>
          <w:sz w:val="24"/>
          <w:szCs w:val="32"/>
        </w:rPr>
        <w:t>非交易纠纷</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60"/>
      <w:bookmarkEnd w:id="161"/>
      <w:bookmarkEnd w:id="162"/>
      <w:bookmarkEnd w:id="163"/>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非交易类纠纷案件</w:t>
      </w:r>
      <w:r>
        <w:rPr>
          <w:rFonts w:hint="eastAsia" w:ascii="Times New Roman" w:hAnsi="Times New Roman"/>
          <w:color w:val="000000" w:themeColor="text1"/>
          <w:sz w:val="24"/>
          <w14:textFill>
            <w14:solidFill>
              <w14:schemeClr w14:val="tx1"/>
            </w14:solidFill>
          </w14:textFill>
        </w:rPr>
        <w:t>共1</w:t>
      </w:r>
      <w:r>
        <w:rPr>
          <w:rFonts w:ascii="Times New Roman" w:hAnsi="Times New Roman"/>
          <w:color w:val="000000" w:themeColor="text1"/>
          <w:sz w:val="24"/>
          <w14:textFill>
            <w14:solidFill>
              <w14:schemeClr w14:val="tx1"/>
            </w14:solidFill>
          </w14:textFill>
        </w:rPr>
        <w:t>99</w:t>
      </w:r>
      <w:r>
        <w:rPr>
          <w:rFonts w:hint="eastAsia" w:ascii="Times New Roman" w:hAnsi="Times New Roman"/>
          <w:color w:val="000000" w:themeColor="text1"/>
          <w:sz w:val="24"/>
          <w14:textFill>
            <w14:solidFill>
              <w14:schemeClr w14:val="tx1"/>
            </w14:solidFill>
          </w14:textFill>
        </w:rPr>
        <w:t>宗，</w:t>
      </w:r>
      <w:r>
        <w:rPr>
          <w:rFonts w:ascii="Times New Roman" w:hAnsi="Times New Roman"/>
          <w:color w:val="000000" w:themeColor="text1"/>
          <w:sz w:val="24"/>
          <w14:textFill>
            <w14:solidFill>
              <w14:schemeClr w14:val="tx1"/>
            </w14:solidFill>
          </w14:textFill>
        </w:rPr>
        <w:t>主要是消费者</w:t>
      </w:r>
      <w:r>
        <w:rPr>
          <w:rFonts w:hint="eastAsia" w:ascii="Times New Roman" w:hAnsi="Times New Roman"/>
          <w:color w:val="000000" w:themeColor="text1"/>
          <w:sz w:val="24"/>
          <w14:textFill>
            <w14:solidFill>
              <w14:schemeClr w14:val="tx1"/>
            </w14:solidFill>
          </w14:textFill>
        </w:rPr>
        <w:t>反映中介服务态度差，骚扰、恐吓、谩骂客户，违背消费者意愿提供中介服务；发布虚假或禁止交易的房源信息广告</w:t>
      </w:r>
      <w:r>
        <w:rPr>
          <w:rFonts w:ascii="Times New Roman" w:hAnsi="Times New Roman"/>
          <w:color w:val="000000" w:themeColor="text1"/>
          <w:sz w:val="24"/>
          <w14:textFill>
            <w14:solidFill>
              <w14:schemeClr w14:val="tx1"/>
            </w14:solidFill>
          </w14:textFill>
        </w:rPr>
        <w:t>等方面的案件</w:t>
      </w:r>
      <w:bookmarkEnd w:id="151"/>
      <w:bookmarkEnd w:id="152"/>
      <w:bookmarkEnd w:id="153"/>
      <w:bookmarkEnd w:id="154"/>
      <w:bookmarkEnd w:id="155"/>
      <w:bookmarkEnd w:id="156"/>
      <w:bookmarkEnd w:id="157"/>
      <w:bookmarkEnd w:id="158"/>
      <w:bookmarkEnd w:id="159"/>
      <w:r>
        <w:rPr>
          <w:rFonts w:hint="eastAsia" w:ascii="Times New Roman" w:hAnsi="Times New Roman"/>
          <w:color w:val="000000" w:themeColor="text1"/>
          <w:sz w:val="24"/>
          <w14:textFill>
            <w14:solidFill>
              <w14:schemeClr w14:val="tx1"/>
            </w14:solidFill>
          </w14:textFill>
        </w:rPr>
        <w:t>，不涉及具体的交易</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主要</w:t>
      </w:r>
      <w:r>
        <w:rPr>
          <w:rFonts w:ascii="Times New Roman" w:hAnsi="Times New Roman"/>
          <w:color w:val="000000" w:themeColor="text1"/>
          <w:sz w:val="24"/>
          <w14:textFill>
            <w14:solidFill>
              <w14:schemeClr w14:val="tx1"/>
            </w14:solidFill>
          </w14:textFill>
        </w:rPr>
        <w:t>情况如下。</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（1）反映中介服务态度差，骚扰、恐吓、谩骂客户（含电话、短信、微信等），违背消费者意愿提供中介服务（如经纪人不分时段拨打、违背消费者意愿反复拨打客户电话，经纪人态度不好，强制带客看楼等）</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共55宗。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（2）二次投诉（案件处理进度、案件处理答复不满意、要求书面回复），共48宗。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（3）发布虚假或禁止交易的房源信息广告（如：房源不存在，未受业主委托放盘、发布房源信息与实际情况不符、小产权房等），共43宗。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（4）中介公司未备案或从业人员无信用信息卡（或从业水平证书）执业等，共22宗。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（5）消费者反映互联网平台（含网站、APP</w:t>
      </w:r>
      <w:r>
        <w:rPr>
          <w:rFonts w:hint="eastAsia" w:ascii="Times New Roman" w:hAnsi="Times New Roman"/>
          <w:color w:val="000000" w:themeColor="text1"/>
          <w:sz w:val="24"/>
          <w14:textFill>
            <w14:solidFill>
              <w14:schemeClr w14:val="tx1"/>
            </w14:solidFill>
          </w14:textFill>
        </w:rPr>
        <w:t>、微信</w:t>
      </w:r>
      <w:r>
        <w:rPr>
          <w:rFonts w:ascii="Times New Roman" w:hAnsi="Times New Roman"/>
          <w:color w:val="000000" w:themeColor="text1"/>
          <w:sz w:val="24"/>
          <w14:textFill>
            <w14:solidFill>
              <w14:schemeClr w14:val="tx1"/>
            </w14:solidFill>
          </w14:textFill>
        </w:rPr>
        <w:t>小程序</w:t>
      </w:r>
      <w:r>
        <w:rPr>
          <w:rFonts w:hint="eastAsia" w:ascii="Times New Roman" w:hAnsi="Times New Roman"/>
          <w:color w:val="000000" w:themeColor="text1"/>
          <w:sz w:val="24"/>
          <w14:textFill>
            <w14:solidFill>
              <w14:schemeClr w14:val="tx1"/>
            </w14:solidFill>
          </w14:textFill>
        </w:rPr>
        <w:t>和微信公众号</w:t>
      </w:r>
      <w:r>
        <w:rPr>
          <w:rFonts w:ascii="Times New Roman" w:hAnsi="Times New Roman"/>
          <w:color w:val="000000" w:themeColor="text1"/>
          <w:sz w:val="24"/>
          <w14:textFill>
            <w14:solidFill>
              <w14:schemeClr w14:val="tx1"/>
            </w14:solidFill>
          </w14:textFill>
        </w:rPr>
        <w:t>）存在哄抬房价、乱收费、客服质量、泄露个人信息等服务管理不规范行为的，共22宗。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（6）</w:t>
      </w:r>
      <w:r>
        <w:rPr>
          <w:rFonts w:ascii="Times New Roman" w:hAnsi="Times New Roman"/>
          <w:color w:val="000000" w:themeColor="text1"/>
          <w:sz w:val="24"/>
          <w14:textFill>
            <w14:solidFill>
              <w14:schemeClr w14:val="tx1"/>
            </w14:solidFill>
          </w14:textFill>
        </w:rPr>
        <w:t>违反网签规则操作网签系统（擅自制作、变更、撤下网签或不配合撤下网签），共4宗。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7</w:t>
      </w:r>
      <w:r>
        <w:rPr>
          <w:rFonts w:ascii="Times New Roman" w:hAnsi="Times New Roman"/>
          <w:color w:val="000000" w:themeColor="text1"/>
          <w:sz w:val="24"/>
          <w14:textFill>
            <w14:solidFill>
              <w14:schemeClr w14:val="tx1"/>
            </w14:solidFill>
          </w14:textFill>
        </w:rPr>
        <w:t>）中介乱收费：收费项目标准不透明，强制或捆绑收费，或未按中介服务合同约定收取中介服务费、收取合同约定以外的费用等，共4宗。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8</w:t>
      </w:r>
      <w:r>
        <w:rPr>
          <w:rFonts w:ascii="Times New Roman" w:hAnsi="Times New Roman"/>
          <w:color w:val="000000" w:themeColor="text1"/>
          <w:sz w:val="24"/>
          <w14:textFill>
            <w14:solidFill>
              <w14:schemeClr w14:val="tx1"/>
            </w14:solidFill>
          </w14:textFill>
        </w:rPr>
        <w:t>）认为行政主管部门存在中介行业信用管理工作不到位（如未公布中介机构的涉诉量等），共1宗。</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p>
    <w:p>
      <w:pPr>
        <w:pStyle w:val="3"/>
        <w:numPr>
          <w:ilvl w:val="255"/>
          <w:numId w:val="0"/>
        </w:numPr>
        <w:spacing w:before="0" w:after="0" w:line="360" w:lineRule="auto"/>
        <w:jc w:val="left"/>
        <w:rPr>
          <w:rFonts w:ascii="Times New Roman" w:hAnsi="Times New Roman" w:eastAsia="黑体"/>
          <w:b w:val="0"/>
          <w:bCs w:val="0"/>
          <w:color w:val="000000" w:themeColor="text1"/>
          <w:sz w:val="28"/>
          <w:szCs w:val="28"/>
          <w14:textFill>
            <w14:solidFill>
              <w14:schemeClr w14:val="tx1"/>
            </w14:solidFill>
          </w14:textFill>
        </w:rPr>
      </w:pPr>
      <w:bookmarkStart w:id="164" w:name="_Toc129785106"/>
      <w:bookmarkStart w:id="165" w:name="_Toc3796"/>
      <w:bookmarkStart w:id="166" w:name="_Toc128753708"/>
      <w:bookmarkStart w:id="167" w:name="_Toc24183"/>
      <w:bookmarkStart w:id="168" w:name="_Toc127875411"/>
      <w:bookmarkStart w:id="169" w:name="_Toc128564716"/>
      <w:bookmarkStart w:id="170" w:name="_Toc12660"/>
      <w:bookmarkStart w:id="171" w:name="_Toc25199"/>
      <w:bookmarkStart w:id="172" w:name="_Toc19852"/>
      <w:bookmarkStart w:id="173" w:name="_Toc24911"/>
      <w:bookmarkStart w:id="174" w:name="_Toc21736"/>
      <w:bookmarkStart w:id="175" w:name="_Toc4510"/>
      <w:bookmarkStart w:id="176" w:name="_Toc121991220"/>
      <w:bookmarkStart w:id="177" w:name="_Toc30230"/>
      <w:bookmarkStart w:id="178" w:name="_Toc5058"/>
      <w:bookmarkStart w:id="179" w:name="_Toc10761"/>
      <w:bookmarkStart w:id="180" w:name="_Toc25139"/>
      <w:bookmarkStart w:id="181" w:name="_Toc22166"/>
      <w:bookmarkStart w:id="182" w:name="_Toc24582"/>
      <w:bookmarkStart w:id="183" w:name="_Toc14968"/>
      <w:bookmarkStart w:id="184" w:name="_Toc13357"/>
      <w:bookmarkStart w:id="185" w:name="_Toc21404"/>
      <w:bookmarkStart w:id="186" w:name="_Toc23185"/>
      <w:bookmarkStart w:id="187" w:name="_Toc20237"/>
      <w:bookmarkStart w:id="188" w:name="_Toc19467"/>
      <w:bookmarkStart w:id="189" w:name="_Toc23865"/>
      <w:bookmarkStart w:id="190" w:name="_Toc2509"/>
      <w:bookmarkStart w:id="191" w:name="_Toc27687"/>
      <w:bookmarkStart w:id="192" w:name="_Toc26348"/>
      <w:bookmarkStart w:id="193" w:name="_Toc4289"/>
      <w:r>
        <w:rPr>
          <w:rFonts w:hint="eastAsia" w:ascii="Times New Roman" w:hAnsi="Times New Roman" w:eastAsia="黑体" w:cs="Times New Roman"/>
          <w:bCs w:val="0"/>
          <w:color w:val="000000" w:themeColor="text1"/>
          <w:sz w:val="28"/>
          <w:szCs w:val="28"/>
          <w14:textFill>
            <w14:solidFill>
              <w14:schemeClr w14:val="tx1"/>
            </w14:solidFill>
          </w14:textFill>
        </w:rPr>
        <w:t>（二）投诉对象</w:t>
      </w:r>
      <w:bookmarkEnd w:id="164"/>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bookmarkStart w:id="194" w:name="_Toc128564717"/>
      <w:bookmarkStart w:id="195" w:name="_Toc6145"/>
      <w:bookmarkStart w:id="196" w:name="_Toc129694165"/>
      <w:bookmarkStart w:id="197" w:name="_Toc7478"/>
      <w:bookmarkStart w:id="198" w:name="_Toc127875412"/>
      <w:bookmarkStart w:id="199" w:name="_Toc8065"/>
      <w:bookmarkStart w:id="200" w:name="_Toc121991221"/>
      <w:bookmarkStart w:id="201" w:name="_Toc24071"/>
      <w:bookmarkStart w:id="202" w:name="_Toc128753709"/>
      <w:bookmarkStart w:id="203" w:name="_Toc45"/>
      <w:bookmarkStart w:id="204" w:name="_Toc29337"/>
      <w:bookmarkStart w:id="205" w:name="_Toc20306"/>
      <w:bookmarkStart w:id="206" w:name="_Toc29540"/>
      <w:bookmarkStart w:id="207" w:name="_Toc19645"/>
      <w:bookmarkStart w:id="208" w:name="_Toc17068"/>
      <w:bookmarkStart w:id="209" w:name="_Toc1674"/>
      <w:bookmarkStart w:id="210" w:name="_Toc20848"/>
      <w:bookmarkStart w:id="211" w:name="_Toc129694235"/>
      <w:bookmarkStart w:id="212" w:name="_Toc21040"/>
      <w:bookmarkStart w:id="213" w:name="_Toc4572"/>
      <w:bookmarkStart w:id="214" w:name="_Toc1163"/>
      <w:bookmarkStart w:id="215" w:name="_Toc24847"/>
      <w:bookmarkStart w:id="216" w:name="_Toc10525"/>
      <w:bookmarkStart w:id="217" w:name="_Toc16326"/>
      <w:bookmarkStart w:id="218" w:name="_Toc32111"/>
      <w:bookmarkStart w:id="219" w:name="_Toc9668"/>
      <w:bookmarkStart w:id="220" w:name="_Toc18551"/>
      <w:bookmarkStart w:id="221" w:name="_Toc31480"/>
      <w:bookmarkStart w:id="222" w:name="_Toc10401"/>
      <w:bookmarkStart w:id="223" w:name="_Toc12443"/>
      <w:bookmarkStart w:id="224" w:name="_Toc9853"/>
      <w:r>
        <w:rPr>
          <w:rFonts w:hint="eastAsia" w:ascii="Times New Roman" w:hAnsi="Times New Roman"/>
          <w:color w:val="000000" w:themeColor="text1"/>
          <w:sz w:val="24"/>
          <w14:textFill>
            <w14:solidFill>
              <w14:schemeClr w14:val="tx1"/>
            </w14:solidFill>
          </w14:textFill>
        </w:rPr>
        <w:t>893宗案件中，769</w:t>
      </w:r>
      <w:r>
        <w:rPr>
          <w:rFonts w:ascii="Times New Roman" w:hAnsi="Times New Roman"/>
          <w:color w:val="000000" w:themeColor="text1"/>
          <w:sz w:val="24"/>
          <w14:textFill>
            <w14:solidFill>
              <w14:schemeClr w14:val="tx1"/>
            </w14:solidFill>
          </w14:textFill>
        </w:rPr>
        <w:t>宗案件明确指出了具体的房地产中介机构</w:t>
      </w:r>
      <w:r>
        <w:rPr>
          <w:rFonts w:hint="eastAsia" w:ascii="Times New Roman" w:hAnsi="Times New Roman"/>
          <w:color w:val="000000" w:themeColor="text1"/>
          <w:sz w:val="24"/>
          <w14:textFill>
            <w14:solidFill>
              <w14:schemeClr w14:val="tx1"/>
            </w14:solidFill>
          </w14:textFill>
        </w:rPr>
        <w:t>，将</w:t>
      </w:r>
      <w:r>
        <w:rPr>
          <w:rFonts w:ascii="Times New Roman" w:hAnsi="Times New Roman"/>
          <w:color w:val="000000" w:themeColor="text1"/>
          <w:sz w:val="24"/>
          <w14:textFill>
            <w14:solidFill>
              <w14:schemeClr w14:val="tx1"/>
            </w14:solidFill>
          </w14:textFill>
        </w:rPr>
        <w:t>互联网房源信息</w:t>
      </w:r>
      <w:r>
        <w:rPr>
          <w:rFonts w:hint="eastAsia" w:ascii="Times New Roman" w:hAnsi="Times New Roman"/>
          <w:color w:val="000000" w:themeColor="text1"/>
          <w:sz w:val="24"/>
          <w14:textFill>
            <w14:solidFill>
              <w14:schemeClr w14:val="tx1"/>
            </w14:solidFill>
          </w14:textFill>
        </w:rPr>
        <w:t>服务</w:t>
      </w:r>
      <w:r>
        <w:rPr>
          <w:rFonts w:ascii="Times New Roman" w:hAnsi="Times New Roman"/>
          <w:color w:val="000000" w:themeColor="text1"/>
          <w:sz w:val="24"/>
          <w14:textFill>
            <w14:solidFill>
              <w14:schemeClr w14:val="tx1"/>
            </w14:solidFill>
          </w14:textFill>
        </w:rPr>
        <w:t>平台</w:t>
      </w:r>
      <w:r>
        <w:rPr>
          <w:rFonts w:hint="eastAsia" w:ascii="Times New Roman" w:hAnsi="Times New Roman"/>
          <w:color w:val="000000" w:themeColor="text1"/>
          <w:sz w:val="24"/>
          <w14:textFill>
            <w14:solidFill>
              <w14:schemeClr w14:val="tx1"/>
            </w14:solidFill>
          </w14:textFill>
        </w:rPr>
        <w:t>作为投诉对象的案件共有78宗，其余46</w:t>
      </w:r>
      <w:r>
        <w:rPr>
          <w:rFonts w:ascii="Times New Roman" w:hAnsi="Times New Roman"/>
          <w:color w:val="000000" w:themeColor="text1"/>
          <w:sz w:val="24"/>
          <w14:textFill>
            <w14:solidFill>
              <w14:schemeClr w14:val="tx1"/>
            </w14:solidFill>
          </w14:textFill>
        </w:rPr>
        <w:t>宗</w:t>
      </w:r>
      <w:r>
        <w:rPr>
          <w:rFonts w:hint="eastAsia" w:ascii="Times New Roman" w:hAnsi="Times New Roman"/>
          <w:color w:val="000000" w:themeColor="text1"/>
          <w:sz w:val="24"/>
          <w14:textFill>
            <w14:solidFill>
              <w14:schemeClr w14:val="tx1"/>
            </w14:solidFill>
          </w14:textFill>
        </w:rPr>
        <w:t>案件</w:t>
      </w:r>
      <w:r>
        <w:rPr>
          <w:rFonts w:ascii="Times New Roman" w:hAnsi="Times New Roman"/>
          <w:color w:val="000000" w:themeColor="text1"/>
          <w:sz w:val="24"/>
          <w14:textFill>
            <w14:solidFill>
              <w14:schemeClr w14:val="tx1"/>
            </w14:solidFill>
          </w14:textFill>
        </w:rPr>
        <w:t>未指明具体的中介机构</w:t>
      </w:r>
      <w:r>
        <w:rPr>
          <w:rFonts w:hint="eastAsia" w:ascii="Times New Roman" w:hAnsi="Times New Roman"/>
          <w:color w:val="000000" w:themeColor="text1"/>
          <w:sz w:val="24"/>
          <w14:textFill>
            <w14:solidFill>
              <w14:schemeClr w14:val="tx1"/>
            </w14:solidFill>
          </w14:textFill>
        </w:rPr>
        <w:t>或房地产中介品牌</w:t>
      </w:r>
      <w:r>
        <w:rPr>
          <w:rFonts w:ascii="Times New Roman" w:hAnsi="Times New Roman"/>
          <w:color w:val="000000" w:themeColor="text1"/>
          <w:sz w:val="24"/>
          <w14:textFill>
            <w14:solidFill>
              <w14:schemeClr w14:val="tx1"/>
            </w14:solidFill>
          </w14:textFill>
        </w:rPr>
        <w:t>。</w:t>
      </w:r>
    </w:p>
    <w:p>
      <w:pPr>
        <w:numPr>
          <w:ilvl w:val="255"/>
          <w:numId w:val="0"/>
        </w:numPr>
        <w:spacing w:line="360" w:lineRule="auto"/>
        <w:ind w:firstLine="481" w:firstLineChars="200"/>
        <w:jc w:val="left"/>
        <w:outlineLvl w:val="1"/>
        <w:rPr>
          <w:rFonts w:ascii="Times New Roman" w:hAnsi="Times New Roman"/>
          <w:b/>
          <w:bCs/>
          <w:sz w:val="24"/>
          <w:szCs w:val="32"/>
        </w:rPr>
      </w:pPr>
      <w:bookmarkStart w:id="225" w:name="_Toc129769285"/>
      <w:bookmarkStart w:id="226" w:name="_Toc129785107"/>
      <w:r>
        <w:rPr>
          <w:rFonts w:hint="eastAsia" w:ascii="Times New Roman" w:hAnsi="Times New Roman"/>
          <w:b/>
          <w:bCs/>
          <w:sz w:val="24"/>
          <w:szCs w:val="32"/>
        </w:rPr>
        <w:t>（1）</w:t>
      </w:r>
      <w:r>
        <w:rPr>
          <w:rFonts w:ascii="Times New Roman" w:hAnsi="Times New Roman"/>
          <w:b/>
          <w:bCs/>
          <w:sz w:val="24"/>
          <w:szCs w:val="32"/>
        </w:rPr>
        <w:t>中介机构</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769</w:t>
      </w:r>
      <w:r>
        <w:rPr>
          <w:rFonts w:ascii="Times New Roman" w:hAnsi="Times New Roman"/>
          <w:color w:val="000000" w:themeColor="text1"/>
          <w:sz w:val="24"/>
          <w14:textFill>
            <w14:solidFill>
              <w14:schemeClr w14:val="tx1"/>
            </w14:solidFill>
          </w14:textFill>
        </w:rPr>
        <w:t>宗</w:t>
      </w:r>
      <w:r>
        <w:rPr>
          <w:rFonts w:hint="eastAsia" w:ascii="Times New Roman" w:hAnsi="Times New Roman"/>
          <w:color w:val="000000" w:themeColor="text1"/>
          <w:sz w:val="24"/>
          <w14:textFill>
            <w14:solidFill>
              <w14:schemeClr w14:val="tx1"/>
            </w14:solidFill>
          </w14:textFill>
        </w:rPr>
        <w:t>指明</w:t>
      </w:r>
      <w:r>
        <w:rPr>
          <w:rFonts w:ascii="Times New Roman" w:hAnsi="Times New Roman"/>
          <w:color w:val="000000" w:themeColor="text1"/>
          <w:sz w:val="24"/>
          <w14:textFill>
            <w14:solidFill>
              <w14:schemeClr w14:val="tx1"/>
            </w14:solidFill>
          </w14:textFill>
        </w:rPr>
        <w:t>具体的房地产中介机构</w:t>
      </w:r>
      <w:r>
        <w:rPr>
          <w:rFonts w:hint="eastAsia" w:ascii="Times New Roman" w:hAnsi="Times New Roman"/>
          <w:color w:val="000000" w:themeColor="text1"/>
          <w:sz w:val="24"/>
          <w14:textFill>
            <w14:solidFill>
              <w14:schemeClr w14:val="tx1"/>
            </w14:solidFill>
          </w14:textFill>
        </w:rPr>
        <w:t>的投诉案件，</w:t>
      </w:r>
      <w:r>
        <w:rPr>
          <w:rFonts w:ascii="Times New Roman" w:hAnsi="Times New Roman"/>
          <w:color w:val="000000" w:themeColor="text1"/>
          <w:sz w:val="24"/>
          <w14:textFill>
            <w14:solidFill>
              <w14:schemeClr w14:val="tx1"/>
            </w14:solidFill>
          </w14:textFill>
        </w:rPr>
        <w:t>共涉及约33</w:t>
      </w:r>
      <w:r>
        <w:rPr>
          <w:rFonts w:hint="eastAsia" w:ascii="Times New Roman" w:hAnsi="Times New Roman"/>
          <w:color w:val="000000" w:themeColor="text1"/>
          <w:sz w:val="24"/>
          <w14:textFill>
            <w14:solidFill>
              <w14:schemeClr w14:val="tx1"/>
            </w14:solidFill>
          </w14:textFill>
        </w:rPr>
        <w:t>0</w:t>
      </w:r>
      <w:r>
        <w:rPr>
          <w:rFonts w:ascii="Times New Roman" w:hAnsi="Times New Roman"/>
          <w:color w:val="000000" w:themeColor="text1"/>
          <w:sz w:val="24"/>
          <w14:textFill>
            <w14:solidFill>
              <w14:schemeClr w14:val="tx1"/>
            </w14:solidFill>
          </w14:textFill>
        </w:rPr>
        <w:t>家中介机构</w:t>
      </w:r>
      <w:r>
        <w:rPr>
          <w:rFonts w:hint="eastAsia" w:ascii="Times New Roman" w:hAnsi="Times New Roman"/>
          <w:color w:val="000000" w:themeColor="text1"/>
          <w:sz w:val="24"/>
          <w14:textFill>
            <w14:solidFill>
              <w14:schemeClr w14:val="tx1"/>
            </w14:solidFill>
          </w14:textFill>
        </w:rPr>
        <w:t>。</w:t>
      </w:r>
    </w:p>
    <w:p>
      <w:pPr>
        <w:spacing w:line="360"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根据投诉量与备案门店数量的比率计算店均投诉量，2022年投诉量排名前十的中介机构或品牌中，德诚行地产、看房网及</w:t>
      </w:r>
      <w:r>
        <w:rPr>
          <w:rFonts w:hint="eastAsia" w:ascii="Times New Roman" w:hAnsi="Times New Roman" w:eastAsiaTheme="minorEastAsia"/>
          <w:color w:val="000000" w:themeColor="text1"/>
          <w:sz w:val="24"/>
          <w:szCs w:val="24"/>
          <w14:textFill>
            <w14:solidFill>
              <w14:schemeClr w14:val="tx1"/>
            </w14:solidFill>
          </w14:textFill>
        </w:rPr>
        <w:t>中原地产</w:t>
      </w:r>
      <w:r>
        <w:rPr>
          <w:rFonts w:ascii="Times New Roman" w:hAnsi="Times New Roman" w:eastAsiaTheme="minorEastAsia"/>
          <w:color w:val="000000" w:themeColor="text1"/>
          <w:sz w:val="24"/>
          <w:szCs w:val="24"/>
          <w14:textFill>
            <w14:solidFill>
              <w14:schemeClr w14:val="tx1"/>
            </w14:solidFill>
          </w14:textFill>
        </w:rPr>
        <w:t>的店均投诉量居前三位，分别为0.</w:t>
      </w:r>
      <w:r>
        <w:rPr>
          <w:rFonts w:hint="eastAsia" w:ascii="Times New Roman" w:hAnsi="Times New Roman" w:eastAsiaTheme="minorEastAsia"/>
          <w:color w:val="000000" w:themeColor="text1"/>
          <w:sz w:val="24"/>
          <w:szCs w:val="24"/>
          <w14:textFill>
            <w14:solidFill>
              <w14:schemeClr w14:val="tx1"/>
            </w14:solidFill>
          </w14:textFill>
        </w:rPr>
        <w:t>38</w:t>
      </w:r>
      <w:r>
        <w:rPr>
          <w:rFonts w:ascii="Times New Roman" w:hAnsi="Times New Roman" w:eastAsiaTheme="minorEastAsia"/>
          <w:color w:val="000000" w:themeColor="text1"/>
          <w:sz w:val="24"/>
          <w:szCs w:val="24"/>
          <w14:textFill>
            <w14:solidFill>
              <w14:schemeClr w14:val="tx1"/>
            </w14:solidFill>
          </w14:textFill>
        </w:rPr>
        <w:t>、0.31和0.26，</w:t>
      </w:r>
      <w:r>
        <w:rPr>
          <w:rFonts w:hint="eastAsia" w:ascii="Times New Roman" w:hAnsi="Times New Roman" w:eastAsiaTheme="minorEastAsia"/>
          <w:color w:val="000000" w:themeColor="text1"/>
          <w:sz w:val="24"/>
          <w:szCs w:val="24"/>
          <w14:textFill>
            <w14:solidFill>
              <w14:schemeClr w14:val="tx1"/>
            </w14:solidFill>
          </w14:textFill>
        </w:rPr>
        <w:t>合富置业</w:t>
      </w:r>
      <w:r>
        <w:rPr>
          <w:rFonts w:ascii="Times New Roman" w:hAnsi="Times New Roman" w:eastAsiaTheme="minorEastAsia"/>
          <w:color w:val="000000" w:themeColor="text1"/>
          <w:sz w:val="24"/>
          <w:szCs w:val="24"/>
          <w14:textFill>
            <w14:solidFill>
              <w14:schemeClr w14:val="tx1"/>
            </w14:solidFill>
          </w14:textFill>
        </w:rPr>
        <w:t>、住商不动产</w:t>
      </w:r>
      <w:r>
        <w:rPr>
          <w:rFonts w:hint="eastAsia" w:ascii="Times New Roman" w:hAnsi="Times New Roman" w:eastAsiaTheme="minorEastAsia"/>
          <w:color w:val="000000" w:themeColor="text1"/>
          <w:sz w:val="24"/>
          <w:szCs w:val="24"/>
          <w14:textFill>
            <w14:solidFill>
              <w14:schemeClr w14:val="tx1"/>
            </w14:solidFill>
          </w14:textFill>
        </w:rPr>
        <w:t>、乐有家</w:t>
      </w:r>
      <w:r>
        <w:rPr>
          <w:rFonts w:ascii="Times New Roman" w:hAnsi="Times New Roman" w:eastAsiaTheme="minorEastAsia"/>
          <w:color w:val="000000" w:themeColor="text1"/>
          <w:sz w:val="24"/>
          <w:szCs w:val="24"/>
          <w14:textFill>
            <w14:solidFill>
              <w14:schemeClr w14:val="tx1"/>
            </w14:solidFill>
          </w14:textFill>
        </w:rPr>
        <w:t>等中介机构、品牌的店均投诉量相对较</w:t>
      </w:r>
      <w:r>
        <w:rPr>
          <w:rFonts w:hint="eastAsia" w:ascii="Times New Roman" w:hAnsi="Times New Roman" w:eastAsiaTheme="minorEastAsia"/>
          <w:color w:val="000000" w:themeColor="text1"/>
          <w:sz w:val="24"/>
          <w:szCs w:val="24"/>
          <w14:textFill>
            <w14:solidFill>
              <w14:schemeClr w14:val="tx1"/>
            </w14:solidFill>
          </w14:textFill>
        </w:rPr>
        <w:t>低（见表11）</w:t>
      </w:r>
      <w:r>
        <w:rPr>
          <w:rFonts w:ascii="Times New Roman" w:hAnsi="Times New Roman" w:eastAsiaTheme="minorEastAsia"/>
          <w:color w:val="000000" w:themeColor="text1"/>
          <w:sz w:val="24"/>
          <w:szCs w:val="24"/>
          <w14:textFill>
            <w14:solidFill>
              <w14:schemeClr w14:val="tx1"/>
            </w14:solidFill>
          </w14:textFill>
        </w:rPr>
        <w:t>。</w:t>
      </w:r>
    </w:p>
    <w:p>
      <w:pPr>
        <w:widowControl/>
        <w:spacing w:line="360" w:lineRule="auto"/>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表1</w:t>
      </w:r>
      <w:r>
        <w:rPr>
          <w:rFonts w:hint="eastAsia"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t xml:space="preserve">  2022年投诉量排名</w:t>
      </w:r>
      <w:r>
        <w:rPr>
          <w:rFonts w:hint="eastAsia" w:ascii="Times New Roman" w:hAnsi="Times New Roman"/>
          <w:color w:val="000000" w:themeColor="text1"/>
          <w14:textFill>
            <w14:solidFill>
              <w14:schemeClr w14:val="tx1"/>
            </w14:solidFill>
          </w14:textFill>
        </w:rPr>
        <w:t>前十</w:t>
      </w:r>
      <w:r>
        <w:rPr>
          <w:rFonts w:ascii="Times New Roman" w:hAnsi="Times New Roman"/>
          <w:color w:val="000000" w:themeColor="text1"/>
          <w14:textFill>
            <w14:solidFill>
              <w14:schemeClr w14:val="tx1"/>
            </w14:solidFill>
          </w14:textFill>
        </w:rPr>
        <w:t>的房地产中介机构/品牌的店均投诉量</w:t>
      </w:r>
    </w:p>
    <w:tbl>
      <w:tblPr>
        <w:tblStyle w:val="19"/>
        <w:tblW w:w="0" w:type="auto"/>
        <w:jc w:val="center"/>
        <w:tblLayout w:type="autofit"/>
        <w:tblCellMar>
          <w:top w:w="0" w:type="dxa"/>
          <w:left w:w="108" w:type="dxa"/>
          <w:bottom w:w="0" w:type="dxa"/>
          <w:right w:w="108" w:type="dxa"/>
        </w:tblCellMar>
      </w:tblPr>
      <w:tblGrid>
        <w:gridCol w:w="706"/>
        <w:gridCol w:w="5387"/>
        <w:gridCol w:w="1417"/>
        <w:gridCol w:w="1553"/>
      </w:tblGrid>
      <w:tr>
        <w:tblPrEx>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nil"/>
              <w:right w:val="single" w:color="auto"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序号</w:t>
            </w:r>
          </w:p>
        </w:tc>
        <w:tc>
          <w:tcPr>
            <w:tcW w:w="5387" w:type="dxa"/>
            <w:tcBorders>
              <w:top w:val="single" w:color="auto" w:sz="4" w:space="0"/>
              <w:left w:val="nil"/>
              <w:bottom w:val="nil"/>
              <w:right w:val="single" w:color="auto"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中介机构/品牌名称</w:t>
            </w:r>
          </w:p>
        </w:tc>
        <w:tc>
          <w:tcPr>
            <w:tcW w:w="1417" w:type="dxa"/>
            <w:tcBorders>
              <w:top w:val="single" w:color="auto" w:sz="4" w:space="0"/>
              <w:left w:val="nil"/>
              <w:bottom w:val="nil"/>
              <w:right w:val="single" w:color="auto"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覆盖的备案</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门店数量</w:t>
            </w:r>
          </w:p>
        </w:tc>
        <w:tc>
          <w:tcPr>
            <w:tcW w:w="1553" w:type="dxa"/>
            <w:tcBorders>
              <w:top w:val="single" w:color="auto" w:sz="4" w:space="0"/>
              <w:left w:val="nil"/>
              <w:bottom w:val="nil"/>
              <w:right w:val="single" w:color="auto" w:sz="4" w:space="0"/>
            </w:tcBorders>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店均投诉量</w:t>
            </w:r>
          </w:p>
        </w:tc>
      </w:tr>
      <w:tr>
        <w:tblPrEx>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ascii="Times New Roman" w:hAnsi="Times New Roman" w:eastAsia="仿宋"/>
                <w:color w:val="000000" w:themeColor="text1"/>
                <w:kern w:val="0"/>
                <w:sz w:val="22"/>
                <w14:textFill>
                  <w14:solidFill>
                    <w14:schemeClr w14:val="tx1"/>
                  </w14:solidFill>
                </w14:textFill>
              </w:rPr>
              <w:t>1</w:t>
            </w:r>
          </w:p>
        </w:tc>
        <w:tc>
          <w:tcPr>
            <w:tcW w:w="5387" w:type="dxa"/>
            <w:tcBorders>
              <w:top w:val="single" w:color="auto" w:sz="4" w:space="0"/>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德诚行地产</w:t>
            </w:r>
          </w:p>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2"/>
                <w:szCs w:val="24"/>
              </w:rPr>
              <w:t>（含广州市德鸿行房地产代理有限公司、广州市德宏房地产代理有限公司</w:t>
            </w:r>
            <w:r>
              <w:rPr>
                <w:rFonts w:hint="eastAsia" w:ascii="Times New Roman" w:hAnsi="Times New Roman" w:eastAsia="仿宋"/>
                <w:color w:val="000000"/>
                <w:sz w:val="22"/>
                <w:szCs w:val="24"/>
              </w:rPr>
              <w:t>等</w:t>
            </w:r>
            <w:r>
              <w:rPr>
                <w:rFonts w:ascii="Times New Roman" w:hAnsi="Times New Roman" w:eastAsia="仿宋"/>
                <w:color w:val="000000"/>
                <w:sz w:val="22"/>
                <w:szCs w:val="24"/>
              </w:rPr>
              <w:t>）</w:t>
            </w:r>
          </w:p>
        </w:tc>
        <w:tc>
          <w:tcPr>
            <w:tcW w:w="1417" w:type="dxa"/>
            <w:tcBorders>
              <w:top w:val="single" w:color="auto" w:sz="4" w:space="0"/>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82</w:t>
            </w:r>
          </w:p>
        </w:tc>
        <w:tc>
          <w:tcPr>
            <w:tcW w:w="1553" w:type="dxa"/>
            <w:tcBorders>
              <w:top w:val="single" w:color="auto" w:sz="4" w:space="0"/>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r>
              <w:rPr>
                <w:rFonts w:hint="eastAsia" w:ascii="Times New Roman" w:hAnsi="Times New Roman" w:eastAsia="仿宋"/>
                <w:color w:val="000000"/>
                <w:sz w:val="24"/>
                <w:szCs w:val="24"/>
              </w:rPr>
              <w:t>38</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ascii="Times New Roman" w:hAnsi="Times New Roman" w:eastAsia="仿宋"/>
                <w:color w:val="000000" w:themeColor="text1"/>
                <w:kern w:val="0"/>
                <w:sz w:val="22"/>
                <w14:textFill>
                  <w14:solidFill>
                    <w14:schemeClr w14:val="tx1"/>
                  </w14:solidFill>
                </w14:textFill>
              </w:rPr>
              <w:t>2</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看房网</w:t>
            </w:r>
          </w:p>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2"/>
                <w:szCs w:val="24"/>
              </w:rPr>
              <w:t>（含广州市百广家房地产中介有限公司、广州市广搏房地产顾问有限公司等）</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5</w:t>
            </w:r>
            <w:r>
              <w:rPr>
                <w:rFonts w:hint="eastAsia" w:ascii="Times New Roman" w:hAnsi="Times New Roman" w:eastAsia="仿宋"/>
                <w:color w:val="000000"/>
                <w:sz w:val="24"/>
                <w:szCs w:val="24"/>
              </w:rPr>
              <w:t>4</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0.31 </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ascii="Times New Roman" w:hAnsi="Times New Roman" w:eastAsia="仿宋"/>
                <w:color w:val="000000" w:themeColor="text1"/>
                <w:kern w:val="0"/>
                <w:sz w:val="22"/>
                <w14:textFill>
                  <w14:solidFill>
                    <w14:schemeClr w14:val="tx1"/>
                  </w14:solidFill>
                </w14:textFill>
              </w:rPr>
              <w:t>3</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广东中原地产代理有限公司</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80</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0.26 </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ascii="Times New Roman" w:hAnsi="Times New Roman" w:eastAsia="仿宋"/>
                <w:color w:val="000000" w:themeColor="text1"/>
                <w:kern w:val="0"/>
                <w:sz w:val="22"/>
                <w14:textFill>
                  <w14:solidFill>
                    <w14:schemeClr w14:val="tx1"/>
                  </w14:solidFill>
                </w14:textFill>
              </w:rPr>
              <w:t>4</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bCs/>
                <w:color w:val="000000" w:themeColor="text1"/>
                <w:sz w:val="24"/>
                <w:szCs w:val="28"/>
                <w14:textFill>
                  <w14:solidFill>
                    <w14:schemeClr w14:val="tx1"/>
                  </w14:solidFill>
                </w14:textFill>
              </w:rPr>
              <w:t>广东链家房地产经纪有限公司</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287</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0.23 </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hint="eastAsia" w:ascii="Times New Roman" w:hAnsi="Times New Roman" w:eastAsia="仿宋"/>
                <w:color w:val="000000" w:themeColor="text1"/>
                <w:kern w:val="0"/>
                <w:sz w:val="22"/>
                <w14:textFill>
                  <w14:solidFill>
                    <w14:schemeClr w14:val="tx1"/>
                  </w14:solidFill>
                </w14:textFill>
              </w:rPr>
              <w:t>5</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置家</w:t>
            </w:r>
          </w:p>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2"/>
                <w:szCs w:val="24"/>
              </w:rPr>
              <w:t>（含广州市置家房地产代理有限公司、广州市宜居房地产代理有限公司等）</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2</w:t>
            </w:r>
            <w:r>
              <w:rPr>
                <w:rFonts w:hint="eastAsia" w:ascii="Times New Roman" w:hAnsi="Times New Roman" w:eastAsia="仿宋"/>
                <w:color w:val="000000"/>
                <w:sz w:val="24"/>
                <w:szCs w:val="24"/>
              </w:rPr>
              <w:t>41</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w:t>
            </w:r>
            <w:r>
              <w:rPr>
                <w:rFonts w:hint="eastAsia" w:ascii="Times New Roman" w:hAnsi="Times New Roman" w:eastAsia="仿宋"/>
                <w:color w:val="000000"/>
                <w:sz w:val="24"/>
                <w:szCs w:val="24"/>
              </w:rPr>
              <w:t>22</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hint="eastAsia" w:ascii="Times New Roman" w:hAnsi="Times New Roman" w:eastAsia="仿宋"/>
                <w:color w:val="000000" w:themeColor="text1"/>
                <w:kern w:val="0"/>
                <w:sz w:val="22"/>
                <w14:textFill>
                  <w14:solidFill>
                    <w14:schemeClr w14:val="tx1"/>
                  </w14:solidFill>
                </w14:textFill>
              </w:rPr>
              <w:t>6</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裕丰地产</w:t>
            </w:r>
          </w:p>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2"/>
                <w:szCs w:val="24"/>
              </w:rPr>
              <w:t>（含广州信仁房地产销售代理有限公司、广州仁隆房地产销售代理有限公司等）</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470</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0.19 </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hint="eastAsia" w:ascii="Times New Roman" w:hAnsi="Times New Roman" w:eastAsia="仿宋"/>
                <w:color w:val="000000" w:themeColor="text1"/>
                <w:kern w:val="0"/>
                <w:sz w:val="22"/>
                <w14:textFill>
                  <w14:solidFill>
                    <w14:schemeClr w14:val="tx1"/>
                  </w14:solidFill>
                </w14:textFill>
              </w:rPr>
              <w:t>7</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德佑</w:t>
            </w:r>
          </w:p>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2"/>
                <w:szCs w:val="24"/>
              </w:rPr>
              <w:t>（含广州市全通房地产经纪有限公司、广州新时光置业网络科技有限公司等）</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680</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0.1</w:t>
            </w:r>
            <w:r>
              <w:rPr>
                <w:rFonts w:hint="eastAsia" w:ascii="Times New Roman" w:hAnsi="Times New Roman" w:eastAsia="仿宋"/>
                <w:color w:val="000000"/>
                <w:sz w:val="24"/>
                <w:szCs w:val="24"/>
              </w:rPr>
              <w:t>1</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hint="eastAsia" w:ascii="Times New Roman" w:hAnsi="Times New Roman" w:eastAsia="仿宋"/>
                <w:color w:val="000000" w:themeColor="text1"/>
                <w:kern w:val="0"/>
                <w:sz w:val="22"/>
                <w14:textFill>
                  <w14:solidFill>
                    <w14:schemeClr w14:val="tx1"/>
                  </w14:solidFill>
                </w14:textFill>
              </w:rPr>
              <w:t>8</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广东合富房地产置业有限公司</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161</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 xml:space="preserve">0.09 </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hint="eastAsia" w:ascii="Times New Roman" w:hAnsi="Times New Roman" w:eastAsia="仿宋"/>
                <w:color w:val="000000" w:themeColor="text1"/>
                <w:kern w:val="0"/>
                <w:sz w:val="22"/>
                <w14:textFill>
                  <w14:solidFill>
                    <w14:schemeClr w14:val="tx1"/>
                  </w14:solidFill>
                </w14:textFill>
              </w:rPr>
              <w:t>9</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住商不动产</w:t>
            </w:r>
          </w:p>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2"/>
                <w:szCs w:val="24"/>
              </w:rPr>
              <w:t>（含广州市喜迎居房地产中介有限公司、广州德之缘房地产代理有限公司等）</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273</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ascii="Times New Roman" w:hAnsi="Times New Roman" w:eastAsia="仿宋"/>
                <w:color w:val="000000"/>
                <w:sz w:val="24"/>
                <w:szCs w:val="24"/>
              </w:rPr>
              <w:t>0.0</w:t>
            </w:r>
            <w:r>
              <w:rPr>
                <w:rFonts w:hint="eastAsia" w:ascii="Times New Roman" w:hAnsi="Times New Roman" w:eastAsia="仿宋"/>
                <w:color w:val="000000"/>
                <w:sz w:val="24"/>
                <w:szCs w:val="24"/>
              </w:rPr>
              <w:t>7</w:t>
            </w:r>
          </w:p>
        </w:tc>
      </w:tr>
      <w:tr>
        <w:tblPrEx>
          <w:tblCellMar>
            <w:top w:w="0" w:type="dxa"/>
            <w:left w:w="108" w:type="dxa"/>
            <w:bottom w:w="0" w:type="dxa"/>
            <w:right w:w="108" w:type="dxa"/>
          </w:tblCellMar>
        </w:tblPrEx>
        <w:trPr>
          <w:trHeight w:val="454" w:hRule="atLeast"/>
          <w:jc w:val="center"/>
        </w:trPr>
        <w:tc>
          <w:tcPr>
            <w:tcW w:w="706" w:type="dxa"/>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Times New Roman" w:hAnsi="Times New Roman" w:eastAsia="仿宋"/>
                <w:color w:val="000000" w:themeColor="text1"/>
                <w:kern w:val="0"/>
                <w:sz w:val="22"/>
                <w14:textFill>
                  <w14:solidFill>
                    <w14:schemeClr w14:val="tx1"/>
                  </w14:solidFill>
                </w14:textFill>
              </w:rPr>
            </w:pPr>
            <w:r>
              <w:rPr>
                <w:rFonts w:hint="eastAsia" w:ascii="Times New Roman" w:hAnsi="Times New Roman" w:eastAsia="仿宋"/>
                <w:color w:val="000000" w:themeColor="text1"/>
                <w:kern w:val="0"/>
                <w:sz w:val="22"/>
                <w14:textFill>
                  <w14:solidFill>
                    <w14:schemeClr w14:val="tx1"/>
                  </w14:solidFill>
                </w14:textFill>
              </w:rPr>
              <w:t>10</w:t>
            </w:r>
          </w:p>
        </w:tc>
        <w:tc>
          <w:tcPr>
            <w:tcW w:w="538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广州市乐有家房产经纪有限公司</w:t>
            </w:r>
          </w:p>
        </w:tc>
        <w:tc>
          <w:tcPr>
            <w:tcW w:w="1417"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216</w:t>
            </w:r>
          </w:p>
        </w:tc>
        <w:tc>
          <w:tcPr>
            <w:tcW w:w="1553" w:type="dxa"/>
            <w:tcBorders>
              <w:top w:val="nil"/>
              <w:left w:val="nil"/>
              <w:bottom w:val="single" w:color="auto" w:sz="4" w:space="0"/>
              <w:right w:val="single" w:color="auto" w:sz="4" w:space="0"/>
            </w:tcBorders>
            <w:shd w:val="clear" w:color="auto" w:fill="auto"/>
            <w:vAlign w:val="center"/>
          </w:tcPr>
          <w:p>
            <w:pPr>
              <w:spacing w:line="276" w:lineRule="auto"/>
              <w:jc w:val="center"/>
              <w:rPr>
                <w:rFonts w:ascii="Times New Roman" w:hAnsi="Times New Roman" w:eastAsia="仿宋"/>
                <w:color w:val="000000"/>
                <w:sz w:val="24"/>
                <w:szCs w:val="24"/>
              </w:rPr>
            </w:pPr>
            <w:r>
              <w:rPr>
                <w:rFonts w:hint="eastAsia" w:ascii="Times New Roman" w:hAnsi="Times New Roman" w:eastAsia="仿宋"/>
                <w:color w:val="000000"/>
                <w:sz w:val="24"/>
                <w:szCs w:val="24"/>
              </w:rPr>
              <w:t>0.04</w:t>
            </w:r>
          </w:p>
        </w:tc>
      </w:tr>
    </w:tbl>
    <w:p>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r>
        <w:rPr>
          <w:rFonts w:ascii="Times New Roman" w:hAnsi="Times New Roman" w:eastAsiaTheme="minorEastAsia"/>
          <w:color w:val="000000" w:themeColor="text1"/>
          <w:szCs w:val="28"/>
          <w14:textFill>
            <w14:solidFill>
              <w14:schemeClr w14:val="tx1"/>
            </w14:solidFill>
          </w14:textFill>
        </w:rPr>
        <w:t>数据来源：</w:t>
      </w:r>
      <w:r>
        <w:rPr>
          <w:rFonts w:hint="eastAsia" w:ascii="Times New Roman" w:hAnsi="Times New Roman" w:eastAsiaTheme="minorEastAsia"/>
          <w:color w:val="000000" w:themeColor="text1"/>
          <w:szCs w:val="28"/>
          <w14:textFill>
            <w14:solidFill>
              <w14:schemeClr w14:val="tx1"/>
            </w14:solidFill>
          </w14:textFill>
        </w:rPr>
        <w:t>广州</w:t>
      </w:r>
      <w:r>
        <w:rPr>
          <w:rFonts w:ascii="Times New Roman" w:hAnsi="Times New Roman" w:eastAsiaTheme="minorEastAsia"/>
          <w:color w:val="000000" w:themeColor="text1"/>
          <w:szCs w:val="28"/>
          <w14:textFill>
            <w14:solidFill>
              <w14:schemeClr w14:val="tx1"/>
            </w14:solidFill>
          </w14:textFill>
        </w:rPr>
        <w:t>市</w:t>
      </w:r>
      <w:r>
        <w:rPr>
          <w:rFonts w:hint="eastAsia" w:ascii="Times New Roman" w:hAnsi="Times New Roman" w:eastAsiaTheme="minorEastAsia"/>
          <w:color w:val="000000" w:themeColor="text1"/>
          <w:szCs w:val="28"/>
          <w14:textFill>
            <w14:solidFill>
              <w14:schemeClr w14:val="tx1"/>
            </w14:solidFill>
          </w14:textFill>
        </w:rPr>
        <w:t>房屋交易监管</w:t>
      </w:r>
      <w:r>
        <w:rPr>
          <w:rFonts w:ascii="Times New Roman" w:hAnsi="Times New Roman" w:eastAsiaTheme="minorEastAsia"/>
          <w:color w:val="000000" w:themeColor="text1"/>
          <w:szCs w:val="28"/>
          <w14:textFill>
            <w14:solidFill>
              <w14:schemeClr w14:val="tx1"/>
            </w14:solidFill>
          </w14:textFill>
        </w:rPr>
        <w:t>中心</w:t>
      </w:r>
    </w:p>
    <w:p>
      <w:pPr>
        <w:numPr>
          <w:ilvl w:val="255"/>
          <w:numId w:val="0"/>
        </w:numPr>
        <w:spacing w:line="360" w:lineRule="auto"/>
        <w:ind w:firstLine="481" w:firstLineChars="200"/>
        <w:jc w:val="left"/>
        <w:outlineLvl w:val="1"/>
        <w:rPr>
          <w:rFonts w:ascii="Times New Roman" w:hAnsi="Times New Roman"/>
          <w:b/>
          <w:bCs/>
          <w:sz w:val="24"/>
          <w:szCs w:val="32"/>
        </w:rPr>
      </w:pPr>
      <w:bookmarkStart w:id="227" w:name="_Toc129785108"/>
      <w:bookmarkStart w:id="228" w:name="_Toc129694236"/>
      <w:bookmarkStart w:id="229" w:name="_Toc129694166"/>
      <w:bookmarkStart w:id="230" w:name="_Toc129769286"/>
      <w:bookmarkStart w:id="231" w:name="_Toc26345"/>
      <w:bookmarkStart w:id="232" w:name="_Toc29806"/>
      <w:bookmarkStart w:id="233" w:name="_Toc128753710"/>
      <w:bookmarkStart w:id="234" w:name="_Toc128564718"/>
      <w:bookmarkStart w:id="235" w:name="_Toc4532"/>
      <w:bookmarkStart w:id="236" w:name="_Toc21977"/>
      <w:bookmarkStart w:id="237" w:name="_Toc23713"/>
      <w:bookmarkStart w:id="238" w:name="_Toc10167"/>
      <w:bookmarkStart w:id="239" w:name="_Toc23271"/>
      <w:bookmarkStart w:id="240" w:name="_Toc25946"/>
      <w:bookmarkStart w:id="241" w:name="_Toc32662"/>
      <w:bookmarkStart w:id="242" w:name="_Toc4145"/>
      <w:bookmarkStart w:id="243" w:name="_Toc13004"/>
      <w:bookmarkStart w:id="244" w:name="_Toc28121"/>
      <w:bookmarkStart w:id="245" w:name="_Toc20979"/>
      <w:bookmarkStart w:id="246" w:name="_Toc12549"/>
      <w:bookmarkStart w:id="247" w:name="_Toc27432"/>
      <w:bookmarkStart w:id="248" w:name="_Toc23922"/>
      <w:bookmarkStart w:id="249" w:name="_Toc9940"/>
      <w:bookmarkStart w:id="250" w:name="_Toc21501"/>
      <w:bookmarkStart w:id="251" w:name="_Toc4792"/>
      <w:bookmarkStart w:id="252" w:name="_Toc13351"/>
      <w:bookmarkStart w:id="253" w:name="_Toc26152"/>
      <w:bookmarkStart w:id="254" w:name="_Toc121991222"/>
      <w:bookmarkStart w:id="255" w:name="_Toc127875413"/>
      <w:bookmarkStart w:id="256" w:name="_Toc10480"/>
      <w:bookmarkStart w:id="257" w:name="_Toc11040"/>
      <w:bookmarkStart w:id="258" w:name="_Toc26805"/>
      <w:bookmarkStart w:id="259" w:name="_Toc31812"/>
      <w:r>
        <w:rPr>
          <w:rFonts w:hint="eastAsia" w:ascii="Times New Roman" w:hAnsi="Times New Roman"/>
          <w:b/>
          <w:bCs/>
          <w:sz w:val="24"/>
          <w:szCs w:val="32"/>
        </w:rPr>
        <w:t>（2）互联网房源信息服务平台</w:t>
      </w:r>
      <w:bookmarkEnd w:id="227"/>
      <w:bookmarkEnd w:id="228"/>
      <w:bookmarkEnd w:id="229"/>
      <w:bookmarkEnd w:id="230"/>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将</w:t>
      </w:r>
      <w:r>
        <w:rPr>
          <w:rFonts w:ascii="Times New Roman" w:hAnsi="Times New Roman"/>
          <w:color w:val="000000" w:themeColor="text1"/>
          <w:sz w:val="24"/>
          <w14:textFill>
            <w14:solidFill>
              <w14:schemeClr w14:val="tx1"/>
            </w14:solidFill>
          </w14:textFill>
        </w:rPr>
        <w:t>互联网房源信息发布平台</w:t>
      </w:r>
      <w:r>
        <w:rPr>
          <w:rFonts w:hint="eastAsia" w:ascii="Times New Roman" w:hAnsi="Times New Roman"/>
          <w:color w:val="000000" w:themeColor="text1"/>
          <w:sz w:val="24"/>
          <w14:textFill>
            <w14:solidFill>
              <w14:schemeClr w14:val="tx1"/>
            </w14:solidFill>
          </w14:textFill>
        </w:rPr>
        <w:t>作为投诉对象的78宗案件，主要涉及贝壳找房和安居客两个网络平台，分别有67宗和11宗案件。消费者反映的问题主要是平台发布虚假房源信息、泄露用户个人信息以及平台进驻的中介机构（或从业人员）在提供中介服务时存在服务态度差、隐瞒或提供虚假、错误的房屋交易信息等问题。</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产生该类投诉的主要原因是消费者通过平台获取房源信息，而具体的主要中介服务是由进驻平台的中介机构提供，消费者对平台的认知及认可要高于为其提供服务的具体中介机构或从业人员，故在投诉时直接将平台作为投诉对象。</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此外，市中介协会分别于2017年、2022年受市交监中心委托开展广州市房地产中介行业调查。调查结果显示，5</w:t>
      </w:r>
      <w:r>
        <w:rPr>
          <w:rFonts w:ascii="Times New Roman" w:hAnsi="Times New Roman"/>
          <w:color w:val="000000" w:themeColor="text1"/>
          <w:sz w:val="24"/>
          <w14:textFill>
            <w14:solidFill>
              <w14:schemeClr w14:val="tx1"/>
            </w14:solidFill>
          </w14:textFill>
        </w:rPr>
        <w:t>4.72</w:t>
      </w:r>
      <w:r>
        <w:rPr>
          <w:rFonts w:hint="eastAsia" w:ascii="Times New Roman" w:hAnsi="Times New Roman"/>
          <w:color w:val="000000" w:themeColor="text1"/>
          <w:sz w:val="24"/>
          <w14:textFill>
            <w14:solidFill>
              <w14:schemeClr w14:val="tx1"/>
            </w14:solidFill>
          </w14:textFill>
        </w:rPr>
        <w:t>%的消费者认为互联网平台发布的房源信息基本真实，有</w:t>
      </w:r>
      <w:r>
        <w:rPr>
          <w:rFonts w:ascii="Times New Roman" w:hAnsi="Times New Roman"/>
          <w:color w:val="000000" w:themeColor="text1"/>
          <w:sz w:val="24"/>
          <w14:textFill>
            <w14:solidFill>
              <w14:schemeClr w14:val="tx1"/>
            </w14:solidFill>
          </w14:textFill>
        </w:rPr>
        <w:t>26.42%</w:t>
      </w:r>
      <w:r>
        <w:rPr>
          <w:rFonts w:hint="eastAsia" w:ascii="Times New Roman" w:hAnsi="Times New Roman"/>
          <w:color w:val="000000" w:themeColor="text1"/>
          <w:sz w:val="24"/>
          <w14:textFill>
            <w14:solidFill>
              <w14:schemeClr w14:val="tx1"/>
            </w14:solidFill>
          </w14:textFill>
        </w:rPr>
        <w:t>的消费者认为很真实，都较201</w:t>
      </w:r>
      <w:r>
        <w:rPr>
          <w:rFonts w:ascii="Times New Roman" w:hAnsi="Times New Roman"/>
          <w:color w:val="000000" w:themeColor="text1"/>
          <w:sz w:val="24"/>
          <w14:textFill>
            <w14:solidFill>
              <w14:schemeClr w14:val="tx1"/>
            </w14:solidFill>
          </w14:textFill>
        </w:rPr>
        <w:t>7</w:t>
      </w:r>
      <w:r>
        <w:rPr>
          <w:rFonts w:hint="eastAsia" w:ascii="Times New Roman" w:hAnsi="Times New Roman"/>
          <w:color w:val="000000" w:themeColor="text1"/>
          <w:sz w:val="24"/>
          <w14:textFill>
            <w14:solidFill>
              <w14:schemeClr w14:val="tx1"/>
            </w14:solidFill>
          </w14:textFill>
        </w:rPr>
        <w:t>年有大幅上升；大约15</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的消费者认为不怎么真实或不真实（见图11）。整体而言，消费者认为互联网平台的房源真实性较201</w:t>
      </w:r>
      <w:r>
        <w:rPr>
          <w:rFonts w:ascii="Times New Roman" w:hAnsi="Times New Roman"/>
          <w:color w:val="000000" w:themeColor="text1"/>
          <w:sz w:val="24"/>
          <w14:textFill>
            <w14:solidFill>
              <w14:schemeClr w14:val="tx1"/>
            </w14:solidFill>
          </w14:textFill>
        </w:rPr>
        <w:t>7</w:t>
      </w:r>
      <w:r>
        <w:rPr>
          <w:rFonts w:hint="eastAsia" w:ascii="Times New Roman" w:hAnsi="Times New Roman"/>
          <w:color w:val="000000" w:themeColor="text1"/>
          <w:sz w:val="24"/>
          <w14:textFill>
            <w14:solidFill>
              <w14:schemeClr w14:val="tx1"/>
            </w14:solidFill>
          </w14:textFill>
        </w:rPr>
        <w:t>年有显著提升，但问题依然不容忽视。</w:t>
      </w:r>
    </w:p>
    <w:p>
      <w:pPr>
        <w:spacing w:line="360" w:lineRule="auto"/>
        <w:jc w:val="center"/>
        <w:rPr>
          <w:rFonts w:ascii="黑体" w:hAnsi="黑体" w:eastAsia="黑体" w:cstheme="minorBidi"/>
          <w:sz w:val="28"/>
        </w:rPr>
      </w:pPr>
      <w:r>
        <w:rPr>
          <w:rFonts w:ascii="黑体" w:hAnsi="黑体" w:eastAsia="黑体" w:cstheme="minorBidi"/>
          <w:sz w:val="28"/>
        </w:rPr>
        <w:drawing>
          <wp:inline distT="0" distB="0" distL="0" distR="0">
            <wp:extent cx="5096510" cy="2781300"/>
            <wp:effectExtent l="0" t="0" r="8890" b="0"/>
            <wp:docPr id="20"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true" noChangeArrowheads="true"/>
                    </pic:cNvPicPr>
                  </pic:nvPicPr>
                  <pic:blipFill>
                    <a:blip r:embed="rId50">
                      <a:extLst>
                        <a:ext uri="{28A0092B-C50C-407E-A947-70E740481C1C}">
                          <a14:useLocalDpi xmlns:a14="http://schemas.microsoft.com/office/drawing/2010/main" val="false"/>
                        </a:ext>
                      </a:extLst>
                    </a:blip>
                    <a:srcRect/>
                    <a:stretch>
                      <a:fillRect/>
                    </a:stretch>
                  </pic:blipFill>
                  <pic:spPr>
                    <a:xfrm>
                      <a:off x="0" y="0"/>
                      <a:ext cx="5128761" cy="2799013"/>
                    </a:xfrm>
                    <a:prstGeom prst="rect">
                      <a:avLst/>
                    </a:prstGeom>
                    <a:noFill/>
                  </pic:spPr>
                </pic:pic>
              </a:graphicData>
            </a:graphic>
          </wp:inline>
        </w:drawing>
      </w:r>
    </w:p>
    <w:p>
      <w:pPr>
        <w:spacing w:line="360" w:lineRule="auto"/>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图11 互联网平台的房源真实性</w:t>
      </w:r>
    </w:p>
    <w:p>
      <w:pPr>
        <w:ind w:right="240"/>
        <w:jc w:val="right"/>
        <w:rPr>
          <w:rFonts w:ascii="Times New Roman" w:hAnsi="Times New Roman" w:eastAsiaTheme="minorEastAsia"/>
          <w:color w:val="000000" w:themeColor="text1"/>
          <w:szCs w:val="28"/>
          <w14:textFill>
            <w14:solidFill>
              <w14:schemeClr w14:val="tx1"/>
            </w14:solidFill>
          </w14:textFill>
        </w:rPr>
      </w:pPr>
      <w:r>
        <w:rPr>
          <w:rFonts w:hint="eastAsia" w:ascii="Times New Roman" w:hAnsi="Times New Roman" w:eastAsiaTheme="minorEastAsia"/>
          <w:color w:val="000000" w:themeColor="text1"/>
          <w:szCs w:val="28"/>
          <w14:textFill>
            <w14:solidFill>
              <w14:schemeClr w14:val="tx1"/>
            </w14:solidFill>
          </w14:textFill>
        </w:rPr>
        <w:t>数据来源：广州市房地产中介协会</w:t>
      </w:r>
    </w:p>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Pr>
        <w:numPr>
          <w:ilvl w:val="255"/>
          <w:numId w:val="0"/>
        </w:numPr>
        <w:spacing w:line="360" w:lineRule="auto"/>
        <w:ind w:firstLine="481" w:firstLineChars="200"/>
        <w:jc w:val="left"/>
        <w:outlineLvl w:val="1"/>
        <w:rPr>
          <w:rFonts w:ascii="Times New Roman" w:hAnsi="Times New Roman"/>
          <w:b/>
          <w:bCs/>
          <w:sz w:val="24"/>
          <w:szCs w:val="32"/>
        </w:rPr>
      </w:pPr>
      <w:bookmarkStart w:id="260" w:name="_Toc129769287"/>
      <w:bookmarkStart w:id="261" w:name="_Toc129785109"/>
      <w:r>
        <w:rPr>
          <w:rFonts w:hint="eastAsia" w:ascii="Times New Roman" w:hAnsi="Times New Roman"/>
          <w:b/>
          <w:bCs/>
          <w:sz w:val="24"/>
          <w:szCs w:val="32"/>
        </w:rPr>
        <w:t>（3）其他</w:t>
      </w:r>
      <w:bookmarkEnd w:id="260"/>
      <w:bookmarkEnd w:id="261"/>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有46</w:t>
      </w:r>
      <w:r>
        <w:rPr>
          <w:rFonts w:ascii="Times New Roman" w:hAnsi="Times New Roman"/>
          <w:color w:val="000000" w:themeColor="text1"/>
          <w:sz w:val="24"/>
          <w14:textFill>
            <w14:solidFill>
              <w14:schemeClr w14:val="tx1"/>
            </w14:solidFill>
          </w14:textFill>
        </w:rPr>
        <w:t>宗</w:t>
      </w:r>
      <w:r>
        <w:rPr>
          <w:rFonts w:hint="eastAsia" w:ascii="Times New Roman" w:hAnsi="Times New Roman"/>
          <w:color w:val="000000" w:themeColor="text1"/>
          <w:sz w:val="24"/>
          <w14:textFill>
            <w14:solidFill>
              <w14:schemeClr w14:val="tx1"/>
            </w14:solidFill>
          </w14:textFill>
        </w:rPr>
        <w:t>投诉</w:t>
      </w:r>
      <w:r>
        <w:rPr>
          <w:rFonts w:ascii="Times New Roman" w:hAnsi="Times New Roman"/>
          <w:color w:val="000000" w:themeColor="text1"/>
          <w:sz w:val="24"/>
          <w14:textFill>
            <w14:solidFill>
              <w14:schemeClr w14:val="tx1"/>
            </w14:solidFill>
          </w14:textFill>
        </w:rPr>
        <w:t>案件未指明具体的中介机构</w:t>
      </w:r>
      <w:r>
        <w:rPr>
          <w:rFonts w:hint="eastAsia" w:ascii="Times New Roman" w:hAnsi="Times New Roman"/>
          <w:color w:val="000000" w:themeColor="text1"/>
          <w:sz w:val="24"/>
          <w14:textFill>
            <w14:solidFill>
              <w14:schemeClr w14:val="tx1"/>
            </w14:solidFill>
          </w14:textFill>
        </w:rPr>
        <w:t>或房地产中介服务品牌，出现这种情况的原因有两种，一是由于消费者未留下具体的联系方式，二是在信访工作人员回访消费者了解具体情况时，消费者却不再愿意透露具体的投诉对象</w:t>
      </w:r>
      <w:r>
        <w:rPr>
          <w:rFonts w:ascii="Times New Roman" w:hAnsi="Times New Roman"/>
          <w:color w:val="000000" w:themeColor="text1"/>
          <w:sz w:val="24"/>
          <w14:textFill>
            <w14:solidFill>
              <w14:schemeClr w14:val="tx1"/>
            </w14:solidFill>
          </w14:textFill>
        </w:rPr>
        <w:t>。</w:t>
      </w: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这部分案件主要是消费者反映短期内接到不同房地产中介对其频繁的电话营销、反映房地产中介市场管理问题（如中介扰乱房地产市场，哄抬房价）、反映阳光家缘平台公示的部分房地产中介机构信息不准确等问题。</w:t>
      </w:r>
    </w:p>
    <w:p/>
    <w:p>
      <w:pPr>
        <w:pStyle w:val="3"/>
        <w:numPr>
          <w:ilvl w:val="255"/>
          <w:numId w:val="0"/>
        </w:numPr>
        <w:spacing w:before="0" w:after="0" w:line="360" w:lineRule="auto"/>
        <w:jc w:val="left"/>
        <w:rPr>
          <w:rFonts w:ascii="Times New Roman" w:hAnsi="Times New Roman" w:eastAsia="黑体" w:cs="Times New Roman"/>
          <w:bCs w:val="0"/>
          <w:color w:val="000000" w:themeColor="text1"/>
          <w:sz w:val="28"/>
          <w:szCs w:val="28"/>
          <w14:textFill>
            <w14:solidFill>
              <w14:schemeClr w14:val="tx1"/>
            </w14:solidFill>
          </w14:textFill>
        </w:rPr>
      </w:pPr>
      <w:bookmarkStart w:id="262" w:name="_Toc129785110"/>
      <w:r>
        <w:rPr>
          <w:rFonts w:hint="eastAsia" w:ascii="Times New Roman" w:hAnsi="Times New Roman" w:eastAsia="黑体" w:cs="Times New Roman"/>
          <w:bCs w:val="0"/>
          <w:color w:val="000000" w:themeColor="text1"/>
          <w:sz w:val="28"/>
          <w:szCs w:val="28"/>
          <w14:textFill>
            <w14:solidFill>
              <w14:schemeClr w14:val="tx1"/>
            </w14:solidFill>
          </w14:textFill>
        </w:rPr>
        <w:t>（三）区域分布</w:t>
      </w:r>
      <w:bookmarkEnd w:id="262"/>
    </w:p>
    <w:p>
      <w:pPr>
        <w:numPr>
          <w:ilvl w:val="255"/>
          <w:numId w:val="0"/>
        </w:numPr>
        <w:snapToGrid w:val="0"/>
        <w:spacing w:line="360" w:lineRule="auto"/>
        <w:ind w:firstLine="480" w:firstLineChars="200"/>
        <w:rPr>
          <w:rFonts w:hint="eastAsia"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893宗消费者投诉案件</w:t>
      </w:r>
      <w:r>
        <w:rPr>
          <w:rFonts w:hint="eastAsia" w:ascii="Times New Roman" w:hAnsi="Times New Roman"/>
          <w:color w:val="000000" w:themeColor="text1"/>
          <w:sz w:val="24"/>
          <w14:textFill>
            <w14:solidFill>
              <w14:schemeClr w14:val="tx1"/>
            </w14:solidFill>
          </w14:textFill>
        </w:rPr>
        <w:t>中</w:t>
      </w:r>
      <w:r>
        <w:rPr>
          <w:rFonts w:ascii="Times New Roman" w:hAnsi="Times New Roman"/>
          <w:color w:val="000000" w:themeColor="text1"/>
          <w:sz w:val="24"/>
          <w14:textFill>
            <w14:solidFill>
              <w14:schemeClr w14:val="tx1"/>
            </w14:solidFill>
          </w14:textFill>
        </w:rPr>
        <w:t>，增城</w:t>
      </w:r>
      <w:r>
        <w:rPr>
          <w:rFonts w:hint="eastAsia" w:ascii="Times New Roman" w:hAnsi="Times New Roman"/>
          <w:color w:val="000000" w:themeColor="text1"/>
          <w:sz w:val="24"/>
          <w14:textFill>
            <w14:solidFill>
              <w14:schemeClr w14:val="tx1"/>
            </w14:solidFill>
          </w14:textFill>
        </w:rPr>
        <w:t>区</w:t>
      </w:r>
      <w:r>
        <w:rPr>
          <w:rFonts w:ascii="Times New Roman" w:hAnsi="Times New Roman"/>
          <w:color w:val="000000" w:themeColor="text1"/>
          <w:sz w:val="24"/>
          <w14:textFill>
            <w14:solidFill>
              <w14:schemeClr w14:val="tx1"/>
            </w14:solidFill>
          </w14:textFill>
        </w:rPr>
        <w:t>涉及房地产中介的投诉案件量排名第一，共160宗，占17.9%；海珠</w:t>
      </w:r>
      <w:r>
        <w:rPr>
          <w:rFonts w:hint="eastAsia" w:ascii="Times New Roman" w:hAnsi="Times New Roman"/>
          <w:color w:val="000000" w:themeColor="text1"/>
          <w:sz w:val="24"/>
          <w14:textFill>
            <w14:solidFill>
              <w14:schemeClr w14:val="tx1"/>
            </w14:solidFill>
          </w14:textFill>
        </w:rPr>
        <w:t>区</w:t>
      </w:r>
      <w:r>
        <w:rPr>
          <w:rFonts w:ascii="Times New Roman" w:hAnsi="Times New Roman"/>
          <w:color w:val="000000" w:themeColor="text1"/>
          <w:sz w:val="24"/>
          <w14:textFill>
            <w14:solidFill>
              <w14:schemeClr w14:val="tx1"/>
            </w14:solidFill>
          </w14:textFill>
        </w:rPr>
        <w:t>第二，共158宗案件，占17.7%；番禺</w:t>
      </w:r>
      <w:r>
        <w:rPr>
          <w:rFonts w:hint="eastAsia" w:ascii="Times New Roman" w:hAnsi="Times New Roman"/>
          <w:color w:val="000000" w:themeColor="text1"/>
          <w:sz w:val="24"/>
          <w14:textFill>
            <w14:solidFill>
              <w14:schemeClr w14:val="tx1"/>
            </w14:solidFill>
          </w14:textFill>
        </w:rPr>
        <w:t>区</w:t>
      </w:r>
      <w:r>
        <w:rPr>
          <w:rFonts w:ascii="Times New Roman" w:hAnsi="Times New Roman"/>
          <w:color w:val="000000" w:themeColor="text1"/>
          <w:sz w:val="24"/>
          <w14:textFill>
            <w14:solidFill>
              <w14:schemeClr w14:val="tx1"/>
            </w14:solidFill>
          </w14:textFill>
        </w:rPr>
        <w:t>排名第三，共114宗案件，占比为12.8%。（详见表1</w:t>
      </w:r>
      <w:r>
        <w:rPr>
          <w:rFonts w:hint="eastAsia" w:ascii="Times New Roman" w:hAnsi="Times New Roman"/>
          <w:color w:val="000000" w:themeColor="text1"/>
          <w:sz w:val="24"/>
          <w14:textFill>
            <w14:solidFill>
              <w14:schemeClr w14:val="tx1"/>
            </w14:solidFill>
          </w14:textFill>
        </w:rPr>
        <w:t>2</w:t>
      </w:r>
      <w:r>
        <w:rPr>
          <w:rFonts w:ascii="Times New Roman" w:hAnsi="Times New Roman"/>
          <w:color w:val="000000" w:themeColor="text1"/>
          <w:sz w:val="24"/>
          <w14:textFill>
            <w14:solidFill>
              <w14:schemeClr w14:val="tx1"/>
            </w14:solidFill>
          </w14:textFill>
        </w:rPr>
        <w:t>）</w:t>
      </w:r>
    </w:p>
    <w:p>
      <w:pPr>
        <w:numPr>
          <w:ilvl w:val="255"/>
          <w:numId w:val="0"/>
        </w:numPr>
        <w:snapToGrid w:val="0"/>
        <w:spacing w:line="360" w:lineRule="auto"/>
        <w:ind w:firstLine="480" w:firstLineChars="200"/>
        <w:rPr>
          <w:rFonts w:hint="eastAsia" w:ascii="Times New Roman" w:hAnsi="Times New Roman"/>
          <w:color w:val="000000" w:themeColor="text1"/>
          <w:sz w:val="24"/>
          <w14:textFill>
            <w14:solidFill>
              <w14:schemeClr w14:val="tx1"/>
            </w14:solidFill>
          </w14:textFill>
        </w:rPr>
      </w:pPr>
    </w:p>
    <w:p>
      <w:pPr>
        <w:numPr>
          <w:ilvl w:val="255"/>
          <w:numId w:val="0"/>
        </w:numPr>
        <w:snapToGrid w:val="0"/>
        <w:spacing w:line="360" w:lineRule="auto"/>
        <w:ind w:firstLine="480" w:firstLineChars="200"/>
        <w:rPr>
          <w:rFonts w:ascii="Times New Roman" w:hAnsi="Times New Roman"/>
          <w:color w:val="000000" w:themeColor="text1"/>
          <w:sz w:val="24"/>
          <w14:textFill>
            <w14:solidFill>
              <w14:schemeClr w14:val="tx1"/>
            </w14:solidFill>
          </w14:textFill>
        </w:rPr>
      </w:pPr>
    </w:p>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表1</w:t>
      </w:r>
      <w:r>
        <w:rPr>
          <w:rFonts w:hint="eastAsia" w:ascii="Times New Roman" w:hAnsi="Times New Roman"/>
          <w:color w:val="000000" w:themeColor="text1"/>
          <w14:textFill>
            <w14:solidFill>
              <w14:schemeClr w14:val="tx1"/>
            </w14:solidFill>
          </w14:textFill>
        </w:rPr>
        <w:t>2</w:t>
      </w:r>
      <w:r>
        <w:rPr>
          <w:rFonts w:ascii="Times New Roman" w:hAnsi="Times New Roman"/>
          <w:color w:val="000000" w:themeColor="text1"/>
          <w14:textFill>
            <w14:solidFill>
              <w14:schemeClr w14:val="tx1"/>
            </w14:solidFill>
          </w14:textFill>
        </w:rPr>
        <w:t xml:space="preserve"> 各区房地产中介交易纠纷案件情况</w:t>
      </w:r>
    </w:p>
    <w:tbl>
      <w:tblPr>
        <w:tblStyle w:val="19"/>
        <w:tblW w:w="50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1"/>
        <w:gridCol w:w="1421"/>
        <w:gridCol w:w="1421"/>
        <w:gridCol w:w="1425"/>
        <w:gridCol w:w="1789"/>
        <w:gridCol w:w="854"/>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731" w:type="pct"/>
            <w:vMerge w:val="restart"/>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行政区</w:t>
            </w:r>
          </w:p>
        </w:tc>
        <w:tc>
          <w:tcPr>
            <w:tcW w:w="2345" w:type="pct"/>
            <w:gridSpan w:val="3"/>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交易类案件（宗）</w:t>
            </w:r>
          </w:p>
        </w:tc>
        <w:tc>
          <w:tcPr>
            <w:tcW w:w="983" w:type="pct"/>
            <w:vMerge w:val="restart"/>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非交易类及平台 案件（宗）</w:t>
            </w:r>
          </w:p>
        </w:tc>
        <w:tc>
          <w:tcPr>
            <w:tcW w:w="469" w:type="pct"/>
            <w:vMerge w:val="restart"/>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合计</w:t>
            </w:r>
          </w:p>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（宗）</w:t>
            </w:r>
          </w:p>
        </w:tc>
        <w:tc>
          <w:tcPr>
            <w:tcW w:w="473" w:type="pct"/>
            <w:vMerge w:val="restart"/>
            <w:shd w:val="clear" w:color="auto" w:fill="auto"/>
            <w:noWrap/>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731" w:type="pct"/>
            <w:vMerge w:val="continue"/>
            <w:shd w:val="clear" w:color="auto" w:fill="auto"/>
            <w:vAlign w:val="center"/>
          </w:tcPr>
          <w:p>
            <w:pPr>
              <w:widowControl/>
              <w:jc w:val="center"/>
              <w:textAlignment w:val="center"/>
              <w:rPr>
                <w:rFonts w:ascii="Times New Roman" w:hAnsi="Times New Roman" w:eastAsia="仿宋"/>
                <w:b/>
                <w:bCs/>
                <w:kern w:val="0"/>
                <w:szCs w:val="21"/>
              </w:rPr>
            </w:pPr>
          </w:p>
        </w:tc>
        <w:tc>
          <w:tcPr>
            <w:tcW w:w="781" w:type="pct"/>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一手交易</w:t>
            </w:r>
          </w:p>
        </w:tc>
        <w:tc>
          <w:tcPr>
            <w:tcW w:w="781" w:type="pct"/>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二手交易</w:t>
            </w:r>
          </w:p>
        </w:tc>
        <w:tc>
          <w:tcPr>
            <w:tcW w:w="783" w:type="pct"/>
            <w:shd w:val="clear" w:color="auto" w:fill="auto"/>
            <w:vAlign w:val="center"/>
          </w:tcPr>
          <w:p>
            <w:pPr>
              <w:snapToGrid w:val="0"/>
              <w:spacing w:line="276" w:lineRule="auto"/>
              <w:jc w:val="center"/>
              <w:rPr>
                <w:rFonts w:ascii="Times New Roman" w:hAnsi="Times New Roman" w:eastAsia="黑体"/>
                <w:b/>
                <w:color w:val="000000" w:themeColor="text1"/>
                <w:kern w:val="0"/>
                <w:sz w:val="22"/>
                <w:szCs w:val="24"/>
                <w14:textFill>
                  <w14:solidFill>
                    <w14:schemeClr w14:val="tx1"/>
                  </w14:solidFill>
                </w14:textFill>
              </w:rPr>
            </w:pPr>
            <w:r>
              <w:rPr>
                <w:rFonts w:ascii="Times New Roman" w:hAnsi="Times New Roman" w:eastAsia="黑体"/>
                <w:b/>
                <w:color w:val="000000" w:themeColor="text1"/>
                <w:kern w:val="0"/>
                <w:sz w:val="22"/>
                <w:szCs w:val="24"/>
                <w14:textFill>
                  <w14:solidFill>
                    <w14:schemeClr w14:val="tx1"/>
                  </w14:solidFill>
                </w14:textFill>
              </w:rPr>
              <w:t>房屋租赁</w:t>
            </w:r>
          </w:p>
        </w:tc>
        <w:tc>
          <w:tcPr>
            <w:tcW w:w="983" w:type="pct"/>
            <w:vMerge w:val="continue"/>
          </w:tcPr>
          <w:p>
            <w:pPr>
              <w:widowControl/>
              <w:jc w:val="center"/>
              <w:textAlignment w:val="center"/>
              <w:rPr>
                <w:rFonts w:ascii="Times New Roman" w:hAnsi="Times New Roman" w:eastAsia="仿宋"/>
                <w:b/>
                <w:bCs/>
                <w:kern w:val="0"/>
                <w:szCs w:val="21"/>
              </w:rPr>
            </w:pPr>
          </w:p>
        </w:tc>
        <w:tc>
          <w:tcPr>
            <w:tcW w:w="469" w:type="pct"/>
            <w:vMerge w:val="continue"/>
            <w:shd w:val="clear" w:color="auto" w:fill="auto"/>
            <w:noWrap/>
            <w:vAlign w:val="center"/>
          </w:tcPr>
          <w:p>
            <w:pPr>
              <w:widowControl/>
              <w:jc w:val="center"/>
              <w:textAlignment w:val="center"/>
              <w:rPr>
                <w:rFonts w:ascii="Times New Roman" w:hAnsi="Times New Roman" w:eastAsia="仿宋"/>
                <w:b/>
                <w:bCs/>
                <w:kern w:val="0"/>
                <w:szCs w:val="21"/>
              </w:rPr>
            </w:pPr>
          </w:p>
        </w:tc>
        <w:tc>
          <w:tcPr>
            <w:tcW w:w="473" w:type="pct"/>
            <w:vMerge w:val="continue"/>
            <w:shd w:val="clear" w:color="auto" w:fill="auto"/>
            <w:noWrap/>
            <w:vAlign w:val="center"/>
          </w:tcPr>
          <w:p>
            <w:pPr>
              <w:widowControl/>
              <w:jc w:val="center"/>
              <w:textAlignment w:val="center"/>
              <w:rPr>
                <w:rFonts w:ascii="Times New Roman" w:hAnsi="Times New Roman"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增城</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68</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64</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18</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10</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160</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海珠</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54</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62</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31</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158</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番禺</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55</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29</w:t>
            </w:r>
          </w:p>
        </w:tc>
        <w:tc>
          <w:tcPr>
            <w:tcW w:w="983" w:type="pct"/>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21</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114</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天河</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10</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36</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23</w:t>
            </w:r>
          </w:p>
        </w:tc>
        <w:tc>
          <w:tcPr>
            <w:tcW w:w="983" w:type="pct"/>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24</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93</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中心</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10</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0</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60</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73</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黄埔</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14</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29</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11</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15</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69</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荔湾</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40</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w:t>
            </w:r>
          </w:p>
        </w:tc>
        <w:tc>
          <w:tcPr>
            <w:tcW w:w="983" w:type="pct"/>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4</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55</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越秀</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20</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18</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48</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花都</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20</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6</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37</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从化</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4</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18</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4</w:t>
            </w:r>
          </w:p>
        </w:tc>
        <w:tc>
          <w:tcPr>
            <w:tcW w:w="983" w:type="pct"/>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8</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34</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白云</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9</w:t>
            </w:r>
          </w:p>
        </w:tc>
        <w:tc>
          <w:tcPr>
            <w:tcW w:w="983" w:type="pct"/>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11</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32</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731" w:type="pct"/>
            <w:shd w:val="clear" w:color="auto" w:fill="auto"/>
            <w:vAlign w:val="center"/>
          </w:tcPr>
          <w:p>
            <w:pPr>
              <w:widowControl/>
              <w:jc w:val="center"/>
              <w:textAlignment w:val="center"/>
              <w:rPr>
                <w:rFonts w:ascii="Times New Roman" w:hAnsi="Times New Roman" w:eastAsia="仿宋"/>
                <w:sz w:val="24"/>
                <w:szCs w:val="24"/>
              </w:rPr>
            </w:pPr>
            <w:r>
              <w:rPr>
                <w:rFonts w:ascii="Times New Roman" w:hAnsi="Times New Roman" w:eastAsia="仿宋"/>
                <w:kern w:val="0"/>
                <w:sz w:val="24"/>
                <w:szCs w:val="24"/>
              </w:rPr>
              <w:t>南沙</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7</w:t>
            </w:r>
          </w:p>
        </w:tc>
        <w:tc>
          <w:tcPr>
            <w:tcW w:w="781"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8</w:t>
            </w:r>
          </w:p>
        </w:tc>
        <w:tc>
          <w:tcPr>
            <w:tcW w:w="78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3</w:t>
            </w:r>
          </w:p>
        </w:tc>
        <w:tc>
          <w:tcPr>
            <w:tcW w:w="983" w:type="pct"/>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kern w:val="0"/>
                <w:sz w:val="24"/>
                <w:szCs w:val="24"/>
              </w:rPr>
              <w:t>20</w:t>
            </w:r>
          </w:p>
        </w:tc>
        <w:tc>
          <w:tcPr>
            <w:tcW w:w="473" w:type="pct"/>
            <w:shd w:val="clear" w:color="auto" w:fill="auto"/>
            <w:noWrap/>
            <w:vAlign w:val="center"/>
          </w:tcPr>
          <w:p>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731" w:type="pct"/>
            <w:shd w:val="clear" w:color="auto" w:fill="auto"/>
            <w:noWrap/>
            <w:vAlign w:val="center"/>
          </w:tcPr>
          <w:p>
            <w:pPr>
              <w:widowControl/>
              <w:jc w:val="center"/>
              <w:textAlignment w:val="center"/>
              <w:rPr>
                <w:rFonts w:ascii="Times New Roman" w:hAnsi="Times New Roman" w:eastAsia="仿宋"/>
                <w:b/>
                <w:bCs/>
                <w:sz w:val="24"/>
                <w:szCs w:val="24"/>
              </w:rPr>
            </w:pPr>
            <w:r>
              <w:rPr>
                <w:rFonts w:ascii="Times New Roman" w:hAnsi="Times New Roman" w:eastAsia="仿宋"/>
                <w:b/>
                <w:bCs/>
                <w:kern w:val="0"/>
                <w:sz w:val="24"/>
                <w:szCs w:val="24"/>
              </w:rPr>
              <w:t>总计</w:t>
            </w:r>
          </w:p>
        </w:tc>
        <w:tc>
          <w:tcPr>
            <w:tcW w:w="781"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142</w:t>
            </w:r>
          </w:p>
        </w:tc>
        <w:tc>
          <w:tcPr>
            <w:tcW w:w="781"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363</w:t>
            </w:r>
          </w:p>
        </w:tc>
        <w:tc>
          <w:tcPr>
            <w:tcW w:w="783"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hint="eastAsia" w:ascii="Times New Roman" w:hAnsi="Times New Roman" w:eastAsia="仿宋"/>
                <w:b/>
                <w:bCs/>
                <w:kern w:val="0"/>
                <w:sz w:val="24"/>
                <w:szCs w:val="24"/>
              </w:rPr>
              <w:t>189</w:t>
            </w:r>
          </w:p>
        </w:tc>
        <w:tc>
          <w:tcPr>
            <w:tcW w:w="983" w:type="pct"/>
            <w:vAlign w:val="center"/>
          </w:tcPr>
          <w:p>
            <w:pPr>
              <w:widowControl/>
              <w:jc w:val="center"/>
              <w:textAlignment w:val="center"/>
              <w:rPr>
                <w:rFonts w:ascii="Times New Roman" w:hAnsi="Times New Roman" w:eastAsia="仿宋"/>
                <w:b/>
                <w:bCs/>
                <w:kern w:val="0"/>
                <w:sz w:val="24"/>
                <w:szCs w:val="24"/>
              </w:rPr>
            </w:pPr>
            <w:r>
              <w:rPr>
                <w:rFonts w:hint="eastAsia" w:ascii="Times New Roman" w:hAnsi="Times New Roman" w:eastAsia="仿宋"/>
                <w:b/>
                <w:bCs/>
                <w:kern w:val="0"/>
                <w:sz w:val="24"/>
                <w:szCs w:val="24"/>
              </w:rPr>
              <w:t>199</w:t>
            </w:r>
          </w:p>
        </w:tc>
        <w:tc>
          <w:tcPr>
            <w:tcW w:w="469" w:type="pct"/>
            <w:shd w:val="clear" w:color="auto" w:fill="auto"/>
            <w:noWrap/>
            <w:vAlign w:val="center"/>
          </w:tcPr>
          <w:p>
            <w:pPr>
              <w:widowControl/>
              <w:jc w:val="center"/>
              <w:textAlignment w:val="center"/>
              <w:rPr>
                <w:rFonts w:ascii="Times New Roman" w:hAnsi="Times New Roman" w:eastAsia="仿宋"/>
                <w:b/>
                <w:bCs/>
                <w:kern w:val="0"/>
                <w:sz w:val="24"/>
                <w:szCs w:val="24"/>
              </w:rPr>
            </w:pPr>
            <w:r>
              <w:rPr>
                <w:rFonts w:ascii="Times New Roman" w:hAnsi="Times New Roman" w:eastAsia="仿宋"/>
                <w:b/>
                <w:bCs/>
                <w:kern w:val="0"/>
                <w:sz w:val="24"/>
                <w:szCs w:val="24"/>
              </w:rPr>
              <w:t>893</w:t>
            </w:r>
          </w:p>
        </w:tc>
        <w:tc>
          <w:tcPr>
            <w:tcW w:w="473" w:type="pct"/>
            <w:shd w:val="clear" w:color="auto" w:fill="auto"/>
            <w:noWrap/>
            <w:vAlign w:val="center"/>
          </w:tcPr>
          <w:p>
            <w:pPr>
              <w:widowControl/>
              <w:jc w:val="center"/>
              <w:textAlignment w:val="center"/>
              <w:rPr>
                <w:rFonts w:ascii="Times New Roman" w:hAnsi="Times New Roman" w:eastAsia="仿宋"/>
                <w:b/>
                <w:kern w:val="0"/>
                <w:sz w:val="24"/>
                <w:szCs w:val="24"/>
              </w:rPr>
            </w:pPr>
            <w:r>
              <w:rPr>
                <w:rFonts w:ascii="Times New Roman" w:hAnsi="Times New Roman" w:eastAsia="仿宋"/>
                <w:b/>
                <w:kern w:val="0"/>
                <w:sz w:val="24"/>
                <w:szCs w:val="24"/>
              </w:rPr>
              <w:t>100.0%</w:t>
            </w:r>
          </w:p>
        </w:tc>
      </w:tr>
    </w:tbl>
    <w:p>
      <w:pPr>
        <w:jc w:val="right"/>
        <w:rPr>
          <w:rFonts w:ascii="Times New Roman" w:hAnsi="Times New Roman" w:eastAsiaTheme="minorEastAsia"/>
          <w:color w:val="000000" w:themeColor="text1"/>
          <w:szCs w:val="28"/>
          <w14:textFill>
            <w14:solidFill>
              <w14:schemeClr w14:val="tx1"/>
            </w14:solidFill>
          </w14:textFill>
        </w:rPr>
      </w:pPr>
      <w:r>
        <w:rPr>
          <w:rFonts w:ascii="Times New Roman" w:hAnsi="Times New Roman" w:eastAsiaTheme="minorEastAsia"/>
          <w:color w:val="000000" w:themeColor="text1"/>
          <w:szCs w:val="28"/>
          <w14:textFill>
            <w14:solidFill>
              <w14:schemeClr w14:val="tx1"/>
            </w14:solidFill>
          </w14:textFill>
        </w:rPr>
        <w:t>数据来源：</w:t>
      </w:r>
      <w:r>
        <w:rPr>
          <w:rFonts w:hint="eastAsia" w:ascii="Times New Roman" w:hAnsi="Times New Roman" w:eastAsiaTheme="minorEastAsia"/>
          <w:color w:val="000000" w:themeColor="text1"/>
          <w:szCs w:val="28"/>
          <w14:textFill>
            <w14:solidFill>
              <w14:schemeClr w14:val="tx1"/>
            </w14:solidFill>
          </w14:textFill>
        </w:rPr>
        <w:t>广州</w:t>
      </w:r>
      <w:r>
        <w:rPr>
          <w:rFonts w:ascii="Times New Roman" w:hAnsi="Times New Roman" w:eastAsiaTheme="minorEastAsia"/>
          <w:color w:val="000000" w:themeColor="text1"/>
          <w:szCs w:val="28"/>
          <w14:textFill>
            <w14:solidFill>
              <w14:schemeClr w14:val="tx1"/>
            </w14:solidFill>
          </w14:textFill>
        </w:rPr>
        <w:t>市</w:t>
      </w:r>
      <w:r>
        <w:rPr>
          <w:rFonts w:hint="eastAsia" w:ascii="Times New Roman" w:hAnsi="Times New Roman" w:eastAsiaTheme="minorEastAsia"/>
          <w:color w:val="000000" w:themeColor="text1"/>
          <w:szCs w:val="28"/>
          <w14:textFill>
            <w14:solidFill>
              <w14:schemeClr w14:val="tx1"/>
            </w14:solidFill>
          </w14:textFill>
        </w:rPr>
        <w:t>房屋交易监管</w:t>
      </w:r>
      <w:r>
        <w:rPr>
          <w:rFonts w:ascii="Times New Roman" w:hAnsi="Times New Roman" w:eastAsiaTheme="minorEastAsia"/>
          <w:color w:val="000000" w:themeColor="text1"/>
          <w:szCs w:val="28"/>
          <w14:textFill>
            <w14:solidFill>
              <w14:schemeClr w14:val="tx1"/>
            </w14:solidFill>
          </w14:textFill>
        </w:rPr>
        <w:t>中心</w:t>
      </w:r>
    </w:p>
    <w:p>
      <w:pPr>
        <w:pStyle w:val="3"/>
        <w:numPr>
          <w:ilvl w:val="255"/>
          <w:numId w:val="0"/>
        </w:numPr>
        <w:spacing w:before="0" w:after="0" w:line="360" w:lineRule="auto"/>
        <w:jc w:val="left"/>
        <w:rPr>
          <w:rFonts w:ascii="Times New Roman" w:hAnsi="Times New Roman" w:eastAsia="黑体" w:cs="Times New Roman"/>
          <w:bCs w:val="0"/>
          <w:color w:val="000000" w:themeColor="text1"/>
          <w:sz w:val="28"/>
          <w:szCs w:val="28"/>
          <w14:textFill>
            <w14:solidFill>
              <w14:schemeClr w14:val="tx1"/>
            </w14:solidFill>
          </w14:textFill>
        </w:rPr>
      </w:pPr>
      <w:bookmarkStart w:id="263" w:name="_Toc129785111"/>
      <w:r>
        <w:rPr>
          <w:rFonts w:ascii="Times New Roman" w:hAnsi="Times New Roman" w:eastAsia="黑体" w:cs="Times New Roman"/>
          <w:bCs w:val="0"/>
          <w:color w:val="000000" w:themeColor="text1"/>
          <w:sz w:val="28"/>
          <w:szCs w:val="28"/>
          <w14:textFill>
            <w14:solidFill>
              <w14:schemeClr w14:val="tx1"/>
            </w14:solidFill>
          </w14:textFill>
        </w:rPr>
        <w:t>（</w:t>
      </w:r>
      <w:r>
        <w:rPr>
          <w:rFonts w:hint="eastAsia" w:ascii="Times New Roman" w:hAnsi="Times New Roman" w:eastAsia="黑体" w:cs="Times New Roman"/>
          <w:bCs w:val="0"/>
          <w:color w:val="000000" w:themeColor="text1"/>
          <w:sz w:val="28"/>
          <w:szCs w:val="28"/>
          <w14:textFill>
            <w14:solidFill>
              <w14:schemeClr w14:val="tx1"/>
            </w14:solidFill>
          </w14:textFill>
        </w:rPr>
        <w:t>四</w:t>
      </w:r>
      <w:r>
        <w:rPr>
          <w:rFonts w:ascii="Times New Roman" w:hAnsi="Times New Roman" w:eastAsia="黑体" w:cs="Times New Roman"/>
          <w:bCs w:val="0"/>
          <w:color w:val="000000" w:themeColor="text1"/>
          <w:sz w:val="28"/>
          <w:szCs w:val="28"/>
          <w14:textFill>
            <w14:solidFill>
              <w14:schemeClr w14:val="tx1"/>
            </w14:solidFill>
          </w14:textFill>
        </w:rPr>
        <w:t>）</w:t>
      </w:r>
      <w:r>
        <w:rPr>
          <w:rFonts w:hint="eastAsia" w:ascii="Times New Roman" w:hAnsi="Times New Roman" w:eastAsia="黑体" w:cs="Times New Roman"/>
          <w:bCs w:val="0"/>
          <w:color w:val="000000" w:themeColor="text1"/>
          <w:sz w:val="28"/>
          <w:szCs w:val="28"/>
          <w14:textFill>
            <w14:solidFill>
              <w14:schemeClr w14:val="tx1"/>
            </w14:solidFill>
          </w14:textFill>
        </w:rPr>
        <w:t>投诉</w:t>
      </w:r>
      <w:r>
        <w:rPr>
          <w:rFonts w:ascii="Times New Roman" w:hAnsi="Times New Roman" w:eastAsia="黑体" w:cs="Times New Roman"/>
          <w:bCs w:val="0"/>
          <w:color w:val="000000" w:themeColor="text1"/>
          <w:sz w:val="28"/>
          <w:szCs w:val="28"/>
          <w14:textFill>
            <w14:solidFill>
              <w14:schemeClr w14:val="tx1"/>
            </w14:solidFill>
          </w14:textFill>
        </w:rPr>
        <w:t>热点</w:t>
      </w:r>
      <w:bookmarkEnd w:id="263"/>
    </w:p>
    <w:p>
      <w:pPr>
        <w:spacing w:line="360" w:lineRule="auto"/>
        <w:ind w:firstLine="480" w:firstLineChars="200"/>
        <w:rPr>
          <w:rFonts w:ascii="Times New Roman" w:hAnsi="Times New Roman"/>
          <w:sz w:val="24"/>
          <w:szCs w:val="24"/>
        </w:rPr>
      </w:pPr>
      <w:r>
        <w:rPr>
          <w:rFonts w:ascii="Times New Roman" w:hAnsi="Times New Roman"/>
          <w:sz w:val="24"/>
          <w:szCs w:val="24"/>
        </w:rPr>
        <w:t>2022年，涉及房地产中介的投诉案件中，较为突出的问题有以下三个方面：</w:t>
      </w:r>
    </w:p>
    <w:p>
      <w:pPr>
        <w:spacing w:line="360" w:lineRule="auto"/>
        <w:ind w:firstLine="480" w:firstLineChars="200"/>
        <w:rPr>
          <w:rFonts w:ascii="Times New Roman" w:hAnsi="Times New Roman"/>
          <w:sz w:val="24"/>
          <w:szCs w:val="24"/>
        </w:rPr>
      </w:pPr>
      <w:r>
        <w:rPr>
          <w:rFonts w:ascii="Times New Roman" w:hAnsi="Times New Roman"/>
          <w:sz w:val="24"/>
          <w:szCs w:val="24"/>
        </w:rPr>
        <w:t>1、租赁一方提出取消交易或交易双方自行终止租赁合同，请求协助退费（如诚意金、押金、租金、中介费等），共93宗，占消费者投诉案件的10.4%。这类案件的主要原因：一是承租人看房后拟承租，向中介支付诚意金（或定金），随后单方要求中介取消租赁，退还诚意金（或定金）；二是承租人入住后，因租客对居住条件不满（如噪音等）或因自身原因不再承租，要求提前结束租赁合同及退回已支付费用（包括中介费）；三是租赁合同到期，出租方未按合同约定退还押金或无故扣减押金等问题，承租方要求中介协助处理。</w:t>
      </w:r>
    </w:p>
    <w:p>
      <w:pPr>
        <w:spacing w:line="360" w:lineRule="auto"/>
        <w:ind w:firstLine="480" w:firstLineChars="200"/>
        <w:rPr>
          <w:rFonts w:ascii="Times New Roman" w:hAnsi="Times New Roman"/>
          <w:sz w:val="24"/>
          <w:szCs w:val="24"/>
        </w:rPr>
      </w:pPr>
      <w:r>
        <w:rPr>
          <w:rFonts w:ascii="Times New Roman" w:hAnsi="Times New Roman"/>
          <w:sz w:val="24"/>
          <w:szCs w:val="24"/>
        </w:rPr>
        <w:t>2、消费者反映中介机构(或从业人员)未依约兑现返佣承诺，共88宗，占消费者投诉案件的9.9%。该类案件，主要是房地产中介在开展一二手联动业务的过程中，为尽快促成交易，经纪人对购房人作出口头或书面承诺，当购房人与房地产开发企业完成购房并达到某种条件后（如完成网签或支付首期款），愿意将其部分佣金返还给购房人。这些承诺有些是房地产中介机构的公司行为，有些是从业人员的个人行为。而未兑现承诺的原因，大多数是因近两年房地产开发企业长时间不结佣导致；也有一部分是因中介不诚信所致，在收到开发商结算的佣金后，不兑现返佣承诺，甚至有小部分从业人员采用离职失联的方式逃避客户追佣。</w:t>
      </w:r>
    </w:p>
    <w:p>
      <w:pPr>
        <w:spacing w:line="360" w:lineRule="auto"/>
        <w:ind w:firstLine="480" w:firstLineChars="200"/>
        <w:rPr>
          <w:rFonts w:ascii="Times New Roman" w:hAnsi="Times New Roman"/>
          <w:sz w:val="24"/>
          <w:szCs w:val="24"/>
        </w:rPr>
      </w:pPr>
      <w:r>
        <w:rPr>
          <w:rFonts w:ascii="Times New Roman" w:hAnsi="Times New Roman"/>
          <w:sz w:val="24"/>
          <w:szCs w:val="24"/>
        </w:rPr>
        <w:t>3、二手房屋交易签约后，因交易双方协商一致解除或交易当事人一方违约，交易房屋未完成过户，消费者要求退回定金、中介费、按揭费、诚意金等，共82宗，占消费者投诉案件的9.2%。该类案件主要是因为消费者在签约前未充分了解现行的购房及住房贷款政策，或认为中介签约前未如实告知房屋交易情况（如房屋状况、周边环境、交易当事人信息等），签约后交易双方协商一致解除或交易当事人拒绝履行合同，要求退回定金、中介费、按揭费、诚意金等。</w:t>
      </w:r>
    </w:p>
    <w:p>
      <w:pPr>
        <w:pStyle w:val="2"/>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264" w:name="_Toc98168328"/>
      <w:bookmarkStart w:id="265" w:name="_Toc129785112"/>
      <w:r>
        <w:rPr>
          <w:rFonts w:ascii="Times New Roman" w:hAnsi="Times New Roman" w:eastAsia="黑体"/>
          <w:bCs w:val="0"/>
          <w:color w:val="000000" w:themeColor="text1"/>
          <w:sz w:val="32"/>
          <w:szCs w:val="24"/>
          <w14:textFill>
            <w14:solidFill>
              <w14:schemeClr w14:val="tx1"/>
            </w14:solidFill>
          </w14:textFill>
        </w:rPr>
        <w:t>八、行业自律举措</w:t>
      </w:r>
      <w:bookmarkEnd w:id="264"/>
      <w:bookmarkEnd w:id="265"/>
    </w:p>
    <w:p>
      <w:pPr>
        <w:pStyle w:val="3"/>
        <w:spacing w:before="0" w:after="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266" w:name="_Toc98168329"/>
      <w:bookmarkStart w:id="267" w:name="_Toc129785113"/>
      <w:bookmarkStart w:id="268" w:name="_Toc64643532"/>
      <w:r>
        <w:rPr>
          <w:rFonts w:ascii="Times New Roman" w:hAnsi="Times New Roman" w:eastAsia="黑体" w:cs="Times New Roman"/>
          <w:bCs w:val="0"/>
          <w:color w:val="000000" w:themeColor="text1"/>
          <w:sz w:val="28"/>
          <w:szCs w:val="28"/>
          <w14:textFill>
            <w14:solidFill>
              <w14:schemeClr w14:val="tx1"/>
            </w14:solidFill>
          </w14:textFill>
        </w:rPr>
        <w:t>（一）见证执行阳光承诺</w:t>
      </w:r>
      <w:bookmarkEnd w:id="266"/>
      <w:bookmarkEnd w:id="267"/>
    </w:p>
    <w:p>
      <w:pPr>
        <w:spacing w:line="360" w:lineRule="auto"/>
        <w:ind w:firstLine="562"/>
        <w:rPr>
          <w:rFonts w:ascii="Times New Roman" w:hAnsi="Times New Roman"/>
          <w:color w:val="000000" w:themeColor="text1"/>
          <w:sz w:val="24"/>
          <w:szCs w:val="28"/>
          <w14:textFill>
            <w14:solidFill>
              <w14:schemeClr w14:val="tx1"/>
            </w14:solidFill>
          </w14:textFill>
        </w:rPr>
      </w:pPr>
      <w:r>
        <w:rPr>
          <w:rFonts w:ascii="Times New Roman" w:hAnsi="Times New Roman"/>
          <w:color w:val="000000" w:themeColor="text1"/>
          <w:sz w:val="24"/>
          <w:szCs w:val="28"/>
          <w14:textFill>
            <w14:solidFill>
              <w14:schemeClr w14:val="tx1"/>
            </w14:solidFill>
          </w14:textFill>
        </w:rPr>
        <w:t>2018年10月23日，市中介协会14家会员单位自愿发起房地产中介阳光承诺活动，签署《广州房地产中介阳光承诺书》，该项承诺活动至2021年10月22日已达期限。在三年承诺期内，共18家房地产中介机构（均为市中介协会会员单位）签署了《承诺书》，各承诺机构认真积极地履行了阳光承诺，共协调买卖/租赁双方解除合同2869宗，并依照承诺退回或放弃收取中介服务费合计约8551.99万元；对消费者举报的已出售或业主变更等未及时撤下的1798宗房源信息进行赔付，共17.98万元。承诺期限内，市交监中心和市中介协会均未收到消费者对承诺企业因未兑现或违反阳光承诺的投诉。</w:t>
      </w:r>
    </w:p>
    <w:p>
      <w:pPr>
        <w:spacing w:line="360" w:lineRule="auto"/>
        <w:ind w:firstLine="562"/>
        <w:rPr>
          <w:rFonts w:ascii="Times New Roman" w:hAnsi="Times New Roman"/>
          <w:sz w:val="24"/>
          <w:szCs w:val="28"/>
        </w:rPr>
      </w:pPr>
      <w:r>
        <w:rPr>
          <w:rFonts w:ascii="Times New Roman" w:hAnsi="Times New Roman"/>
          <w:sz w:val="24"/>
          <w:szCs w:val="28"/>
        </w:rPr>
        <w:t>经市中介协会会员单位申请，市交监中心和市中介协会见证，共有</w:t>
      </w:r>
      <w:r>
        <w:rPr>
          <w:rFonts w:hint="eastAsia" w:ascii="Times New Roman" w:hAnsi="Times New Roman"/>
          <w:sz w:val="24"/>
          <w:szCs w:val="28"/>
        </w:rPr>
        <w:t>9</w:t>
      </w:r>
      <w:r>
        <w:rPr>
          <w:rFonts w:ascii="Times New Roman" w:hAnsi="Times New Roman"/>
          <w:sz w:val="24"/>
          <w:szCs w:val="28"/>
        </w:rPr>
        <w:t>家中介机构自愿续签《承诺书》，另有5家中介机构新加入承诺队伍，新的承诺期自2021年10月23日至2024年10月22日。</w:t>
      </w:r>
    </w:p>
    <w:p>
      <w:pPr>
        <w:spacing w:line="360" w:lineRule="auto"/>
        <w:ind w:firstLine="562"/>
        <w:rPr>
          <w:rFonts w:ascii="Times New Roman" w:hAnsi="Times New Roman"/>
          <w:sz w:val="24"/>
          <w:szCs w:val="28"/>
        </w:rPr>
      </w:pPr>
      <w:r>
        <w:rPr>
          <w:rFonts w:ascii="Times New Roman" w:hAnsi="Times New Roman"/>
          <w:sz w:val="24"/>
          <w:szCs w:val="28"/>
        </w:rPr>
        <w:t>截至2022年12月，1</w:t>
      </w:r>
      <w:r>
        <w:rPr>
          <w:rFonts w:hint="eastAsia" w:ascii="Times New Roman" w:hAnsi="Times New Roman"/>
          <w:sz w:val="24"/>
          <w:szCs w:val="28"/>
        </w:rPr>
        <w:t>4</w:t>
      </w:r>
      <w:r>
        <w:rPr>
          <w:rFonts w:ascii="Times New Roman" w:hAnsi="Times New Roman"/>
          <w:sz w:val="24"/>
          <w:szCs w:val="28"/>
        </w:rPr>
        <w:t>家承诺机构已累计协调买卖/租赁双方解除合同542宗，依照承诺退回或放弃收取中介服务费共约1615.81万元，对消费者举报已出售或业主变更等未及时撤下的5宗房源信息进行赔付，共500元。</w:t>
      </w:r>
    </w:p>
    <w:p>
      <w:pPr>
        <w:spacing w:line="360" w:lineRule="auto"/>
        <w:ind w:firstLine="562"/>
        <w:rPr>
          <w:rFonts w:ascii="Times New Roman" w:hAnsi="Times New Roman" w:eastAsia="楷体"/>
          <w:b/>
          <w:sz w:val="24"/>
          <w:szCs w:val="28"/>
        </w:rPr>
      </w:pPr>
      <w:r>
        <w:rPr>
          <w:rFonts w:ascii="Times New Roman" w:hAnsi="Times New Roman" w:eastAsia="楷体"/>
          <w:b/>
          <w:sz w:val="24"/>
          <w:szCs w:val="28"/>
        </w:rPr>
        <w:t>六项房地产中介阳光承诺是：</w:t>
      </w:r>
    </w:p>
    <w:p>
      <w:pPr>
        <w:spacing w:line="360" w:lineRule="auto"/>
        <w:ind w:firstLine="562"/>
        <w:rPr>
          <w:rFonts w:ascii="Times New Roman" w:hAnsi="Times New Roman" w:eastAsia="楷体"/>
          <w:sz w:val="24"/>
          <w:szCs w:val="28"/>
        </w:rPr>
      </w:pPr>
      <w:r>
        <w:rPr>
          <w:rFonts w:ascii="Times New Roman" w:hAnsi="Times New Roman" w:eastAsia="楷体"/>
          <w:sz w:val="24"/>
          <w:szCs w:val="28"/>
        </w:rPr>
        <w:t xml:space="preserve">一、交易不成，不收中介服务费； </w:t>
      </w:r>
    </w:p>
    <w:p>
      <w:pPr>
        <w:spacing w:line="360" w:lineRule="auto"/>
        <w:ind w:firstLine="562"/>
        <w:rPr>
          <w:rFonts w:ascii="Times New Roman" w:hAnsi="Times New Roman" w:eastAsia="楷体"/>
          <w:sz w:val="24"/>
          <w:szCs w:val="28"/>
        </w:rPr>
      </w:pPr>
      <w:r>
        <w:rPr>
          <w:rFonts w:ascii="Times New Roman" w:hAnsi="Times New Roman" w:eastAsia="楷体"/>
          <w:sz w:val="24"/>
          <w:szCs w:val="28"/>
        </w:rPr>
        <w:t xml:space="preserve">二、全渠道发布真实房源信息； </w:t>
      </w:r>
    </w:p>
    <w:p>
      <w:pPr>
        <w:spacing w:line="360" w:lineRule="auto"/>
        <w:ind w:firstLine="562"/>
        <w:rPr>
          <w:rFonts w:ascii="Times New Roman" w:hAnsi="Times New Roman" w:eastAsia="楷体"/>
          <w:sz w:val="24"/>
          <w:szCs w:val="28"/>
        </w:rPr>
      </w:pPr>
      <w:r>
        <w:rPr>
          <w:rFonts w:ascii="Times New Roman" w:hAnsi="Times New Roman" w:eastAsia="楷体"/>
          <w:sz w:val="24"/>
          <w:szCs w:val="28"/>
        </w:rPr>
        <w:t xml:space="preserve">三、交易公开透明，不吃差价，不乱收费、不强制服务，规范开具发票； </w:t>
      </w:r>
    </w:p>
    <w:p>
      <w:pPr>
        <w:spacing w:line="360" w:lineRule="auto"/>
        <w:ind w:firstLine="562"/>
        <w:rPr>
          <w:rFonts w:ascii="Times New Roman" w:hAnsi="Times New Roman" w:eastAsia="楷体"/>
          <w:sz w:val="24"/>
          <w:szCs w:val="28"/>
        </w:rPr>
      </w:pPr>
      <w:r>
        <w:rPr>
          <w:rFonts w:ascii="Times New Roman" w:hAnsi="Times New Roman" w:eastAsia="楷体"/>
          <w:sz w:val="24"/>
          <w:szCs w:val="28"/>
        </w:rPr>
        <w:t xml:space="preserve">四、不制作“阴阳合同”； </w:t>
      </w:r>
    </w:p>
    <w:p>
      <w:pPr>
        <w:spacing w:line="360" w:lineRule="auto"/>
        <w:ind w:firstLine="562"/>
        <w:rPr>
          <w:rFonts w:ascii="Times New Roman" w:hAnsi="Times New Roman" w:eastAsia="楷体"/>
          <w:sz w:val="24"/>
          <w:szCs w:val="28"/>
        </w:rPr>
      </w:pPr>
      <w:r>
        <w:rPr>
          <w:rFonts w:ascii="Times New Roman" w:hAnsi="Times New Roman" w:eastAsia="楷体"/>
          <w:sz w:val="24"/>
          <w:szCs w:val="28"/>
        </w:rPr>
        <w:t xml:space="preserve">五、不承购、承租自己提供经纪服务的房屋； </w:t>
      </w:r>
    </w:p>
    <w:p>
      <w:pPr>
        <w:spacing w:line="360" w:lineRule="auto"/>
        <w:ind w:firstLine="562"/>
        <w:rPr>
          <w:rFonts w:ascii="Times New Roman" w:hAnsi="Times New Roman" w:eastAsia="楷体"/>
          <w:sz w:val="24"/>
          <w:szCs w:val="28"/>
        </w:rPr>
      </w:pPr>
      <w:r>
        <w:rPr>
          <w:rFonts w:ascii="Times New Roman" w:hAnsi="Times New Roman" w:eastAsia="楷体"/>
          <w:sz w:val="24"/>
          <w:szCs w:val="28"/>
        </w:rPr>
        <w:t>六、不聘用信用等级为“失信”的从业人员。</w:t>
      </w:r>
    </w:p>
    <w:p>
      <w:pPr>
        <w:spacing w:line="360" w:lineRule="auto"/>
        <w:ind w:firstLine="562"/>
        <w:rPr>
          <w:rFonts w:ascii="Times New Roman" w:hAnsi="Times New Roman"/>
        </w:rPr>
      </w:pPr>
      <w:r>
        <w:rPr>
          <w:rFonts w:ascii="Times New Roman" w:hAnsi="Times New Roman" w:eastAsia="楷体"/>
          <w:sz w:val="24"/>
          <w:szCs w:val="28"/>
        </w:rPr>
        <w:t>（上述承诺自2021年10月23日起生效，有效期三年。）</w:t>
      </w:r>
    </w:p>
    <w:p>
      <w:pPr>
        <w:pStyle w:val="26"/>
        <w:rPr>
          <w:rFonts w:hint="default"/>
        </w:rPr>
      </w:pPr>
    </w:p>
    <w:p>
      <w:pPr>
        <w:spacing w:line="360" w:lineRule="auto"/>
        <w:ind w:firstLine="562"/>
        <w:rPr>
          <w:rFonts w:ascii="Times New Roman" w:hAnsi="Times New Roman"/>
          <w:sz w:val="22"/>
          <w:szCs w:val="28"/>
        </w:rPr>
      </w:pPr>
      <w:r>
        <w:rPr>
          <w:rFonts w:ascii="Times New Roman" w:hAnsi="Times New Roman" w:eastAsia="楷体"/>
          <w:b/>
          <w:sz w:val="24"/>
          <w:szCs w:val="28"/>
        </w:rPr>
        <w:t>本轮签署《承诺书》的1</w:t>
      </w:r>
      <w:r>
        <w:rPr>
          <w:rFonts w:hint="eastAsia" w:ascii="Times New Roman" w:hAnsi="Times New Roman" w:eastAsia="楷体"/>
          <w:b/>
          <w:sz w:val="24"/>
          <w:szCs w:val="28"/>
        </w:rPr>
        <w:t>4</w:t>
      </w:r>
      <w:r>
        <w:rPr>
          <w:rFonts w:ascii="Times New Roman" w:hAnsi="Times New Roman" w:eastAsia="楷体"/>
          <w:b/>
          <w:sz w:val="24"/>
          <w:szCs w:val="28"/>
        </w:rPr>
        <w:t>家中介机构分别是</w:t>
      </w:r>
      <w:r>
        <w:rPr>
          <w:rFonts w:ascii="Times New Roman" w:hAnsi="Times New Roman"/>
          <w:sz w:val="22"/>
          <w:szCs w:val="28"/>
        </w:rPr>
        <w:t>：</w:t>
      </w:r>
    </w:p>
    <w:p>
      <w:pPr>
        <w:pStyle w:val="26"/>
        <w:numPr>
          <w:ilvl w:val="0"/>
          <w:numId w:val="3"/>
        </w:numPr>
        <w:spacing w:line="360" w:lineRule="auto"/>
        <w:rPr>
          <w:rFonts w:hint="default" w:eastAsia="楷体"/>
          <w:szCs w:val="28"/>
        </w:rPr>
      </w:pPr>
      <w:r>
        <w:rPr>
          <w:rFonts w:hint="default" w:eastAsia="楷体"/>
          <w:szCs w:val="28"/>
        </w:rPr>
        <w:t>广东链家房地产经纪有限公司（市中介协会副会长单位）；</w:t>
      </w:r>
    </w:p>
    <w:p>
      <w:pPr>
        <w:pStyle w:val="26"/>
        <w:numPr>
          <w:ilvl w:val="0"/>
          <w:numId w:val="3"/>
        </w:numPr>
        <w:spacing w:line="360" w:lineRule="auto"/>
        <w:rPr>
          <w:rFonts w:hint="default" w:eastAsia="楷体"/>
          <w:szCs w:val="28"/>
        </w:rPr>
      </w:pPr>
      <w:r>
        <w:rPr>
          <w:rFonts w:hint="default" w:eastAsia="楷体"/>
          <w:szCs w:val="28"/>
        </w:rPr>
        <w:t>广东合富房地产置业有限公司（市中介协会副会长单位）；</w:t>
      </w:r>
    </w:p>
    <w:p>
      <w:pPr>
        <w:pStyle w:val="26"/>
        <w:numPr>
          <w:ilvl w:val="0"/>
          <w:numId w:val="3"/>
        </w:numPr>
        <w:spacing w:line="360" w:lineRule="auto"/>
        <w:rPr>
          <w:rFonts w:hint="default" w:eastAsia="楷体"/>
          <w:szCs w:val="28"/>
        </w:rPr>
      </w:pPr>
      <w:r>
        <w:rPr>
          <w:rFonts w:hint="default" w:eastAsia="楷体"/>
          <w:szCs w:val="28"/>
        </w:rPr>
        <w:t>广州裕丰咨询顾问有限公司（市中介协会副会长单位，包含旗下广州市所有加盟并使用“裕丰地产”品牌经营的门店）；</w:t>
      </w:r>
    </w:p>
    <w:p>
      <w:pPr>
        <w:pStyle w:val="26"/>
        <w:numPr>
          <w:ilvl w:val="0"/>
          <w:numId w:val="3"/>
        </w:numPr>
        <w:spacing w:line="360" w:lineRule="auto"/>
        <w:rPr>
          <w:rFonts w:hint="default" w:eastAsia="楷体"/>
          <w:szCs w:val="28"/>
        </w:rPr>
      </w:pPr>
      <w:r>
        <w:rPr>
          <w:rFonts w:hint="default" w:eastAsia="楷体"/>
          <w:szCs w:val="28"/>
        </w:rPr>
        <w:t>广州市乐有家房产经纪有限公司（市中介协会理事单位）；</w:t>
      </w:r>
    </w:p>
    <w:p>
      <w:pPr>
        <w:pStyle w:val="26"/>
        <w:numPr>
          <w:ilvl w:val="0"/>
          <w:numId w:val="3"/>
        </w:numPr>
        <w:spacing w:line="360" w:lineRule="auto"/>
        <w:rPr>
          <w:rFonts w:hint="default" w:eastAsia="楷体"/>
          <w:szCs w:val="28"/>
        </w:rPr>
      </w:pPr>
      <w:r>
        <w:rPr>
          <w:rFonts w:hint="default" w:eastAsia="楷体"/>
          <w:szCs w:val="28"/>
        </w:rPr>
        <w:t>广州市置家房地产代理有限公司（市中介协会理事单位，包含旗下广州市所有加盟并使用“置家”品牌经营的门店）；</w:t>
      </w:r>
    </w:p>
    <w:p>
      <w:pPr>
        <w:pStyle w:val="26"/>
        <w:numPr>
          <w:ilvl w:val="0"/>
          <w:numId w:val="3"/>
        </w:numPr>
        <w:spacing w:line="360" w:lineRule="auto"/>
        <w:rPr>
          <w:rFonts w:hint="default" w:eastAsia="楷体"/>
          <w:szCs w:val="28"/>
        </w:rPr>
      </w:pPr>
      <w:r>
        <w:rPr>
          <w:rFonts w:hint="default" w:eastAsia="楷体"/>
          <w:szCs w:val="28"/>
        </w:rPr>
        <w:t>广东德诚行地产集团有限公司（市中介协会理事单位，包含旗下广州市所有加盟并使用“德诚行”品牌经营的门店）；</w:t>
      </w:r>
    </w:p>
    <w:p>
      <w:pPr>
        <w:pStyle w:val="26"/>
        <w:numPr>
          <w:ilvl w:val="0"/>
          <w:numId w:val="3"/>
        </w:numPr>
        <w:spacing w:line="360" w:lineRule="auto"/>
        <w:rPr>
          <w:rFonts w:hint="default" w:eastAsia="楷体"/>
          <w:szCs w:val="28"/>
        </w:rPr>
      </w:pPr>
      <w:r>
        <w:rPr>
          <w:rFonts w:hint="default" w:eastAsia="楷体"/>
          <w:szCs w:val="28"/>
        </w:rPr>
        <w:t>保利地产投资顾问有限公司（市中介协会理事单位）；</w:t>
      </w:r>
    </w:p>
    <w:p>
      <w:pPr>
        <w:pStyle w:val="32"/>
        <w:numPr>
          <w:ilvl w:val="0"/>
          <w:numId w:val="3"/>
        </w:numPr>
        <w:ind w:left="420" w:firstLine="0" w:firstLineChars="0"/>
        <w:rPr>
          <w:rFonts w:ascii="Times New Roman" w:hAnsi="Times New Roman" w:eastAsia="楷体"/>
          <w:sz w:val="24"/>
          <w:szCs w:val="28"/>
        </w:rPr>
      </w:pPr>
      <w:r>
        <w:rPr>
          <w:rFonts w:hint="eastAsia" w:ascii="Times New Roman" w:hAnsi="Times New Roman" w:eastAsia="楷体"/>
          <w:sz w:val="24"/>
          <w:szCs w:val="28"/>
        </w:rPr>
        <w:t>广州方圆生活服务有限公司（市中介协会会员单位）；</w:t>
      </w:r>
    </w:p>
    <w:p>
      <w:pPr>
        <w:pStyle w:val="26"/>
        <w:numPr>
          <w:ilvl w:val="0"/>
          <w:numId w:val="3"/>
        </w:numPr>
        <w:spacing w:line="360" w:lineRule="auto"/>
        <w:rPr>
          <w:rFonts w:hint="default" w:eastAsia="楷体"/>
          <w:szCs w:val="28"/>
        </w:rPr>
      </w:pPr>
      <w:r>
        <w:rPr>
          <w:rFonts w:hint="default" w:eastAsia="楷体"/>
          <w:szCs w:val="28"/>
        </w:rPr>
        <w:t>广州市中营房地产代理有限公司（市中介协会会员单位）；</w:t>
      </w:r>
    </w:p>
    <w:p>
      <w:pPr>
        <w:pStyle w:val="26"/>
        <w:numPr>
          <w:ilvl w:val="0"/>
          <w:numId w:val="3"/>
        </w:numPr>
        <w:spacing w:line="360" w:lineRule="auto"/>
        <w:rPr>
          <w:rFonts w:hint="default" w:eastAsia="楷体"/>
          <w:szCs w:val="28"/>
        </w:rPr>
      </w:pPr>
      <w:r>
        <w:rPr>
          <w:rFonts w:hint="default" w:eastAsia="楷体"/>
          <w:szCs w:val="28"/>
        </w:rPr>
        <w:t>房六六置业(广州)有限公司（市中介协会会员单位）；</w:t>
      </w:r>
    </w:p>
    <w:p>
      <w:pPr>
        <w:pStyle w:val="26"/>
        <w:numPr>
          <w:ilvl w:val="0"/>
          <w:numId w:val="3"/>
        </w:numPr>
        <w:spacing w:line="360" w:lineRule="auto"/>
        <w:rPr>
          <w:rFonts w:hint="default" w:eastAsia="楷体"/>
          <w:szCs w:val="28"/>
        </w:rPr>
      </w:pPr>
      <w:r>
        <w:rPr>
          <w:rFonts w:hint="default" w:eastAsia="楷体"/>
          <w:szCs w:val="28"/>
        </w:rPr>
        <w:t>上海住商房地产经纪有限公司（包含旗下广州市所有加盟并使用“住商不动产”品牌经营的门店）；</w:t>
      </w:r>
    </w:p>
    <w:p>
      <w:pPr>
        <w:pStyle w:val="26"/>
        <w:numPr>
          <w:ilvl w:val="0"/>
          <w:numId w:val="3"/>
        </w:numPr>
        <w:spacing w:line="360" w:lineRule="auto"/>
        <w:rPr>
          <w:rFonts w:hint="default" w:eastAsia="楷体"/>
          <w:szCs w:val="28"/>
        </w:rPr>
      </w:pPr>
      <w:r>
        <w:rPr>
          <w:rFonts w:hint="default" w:eastAsia="楷体"/>
          <w:szCs w:val="28"/>
        </w:rPr>
        <w:t>广州珍房源房地产经纪有限公司（市中介协会会员单位）；</w:t>
      </w:r>
    </w:p>
    <w:p>
      <w:pPr>
        <w:pStyle w:val="26"/>
        <w:numPr>
          <w:ilvl w:val="0"/>
          <w:numId w:val="3"/>
        </w:numPr>
        <w:spacing w:line="360" w:lineRule="auto"/>
        <w:rPr>
          <w:rFonts w:hint="default" w:eastAsia="楷体"/>
          <w:szCs w:val="28"/>
        </w:rPr>
      </w:pPr>
      <w:r>
        <w:rPr>
          <w:rFonts w:hint="default" w:eastAsia="楷体"/>
          <w:szCs w:val="28"/>
        </w:rPr>
        <w:t>广州德佑科技服务有限公司（包含旗下广州市所有加盟并使用“德佑”品牌经营的门店）；</w:t>
      </w:r>
    </w:p>
    <w:p>
      <w:pPr>
        <w:pStyle w:val="26"/>
        <w:numPr>
          <w:ilvl w:val="0"/>
          <w:numId w:val="3"/>
        </w:numPr>
        <w:spacing w:line="360" w:lineRule="auto"/>
        <w:rPr>
          <w:rFonts w:hint="default" w:eastAsia="楷体"/>
          <w:szCs w:val="28"/>
        </w:rPr>
      </w:pPr>
      <w:r>
        <w:rPr>
          <w:rFonts w:hint="default" w:eastAsia="楷体"/>
          <w:szCs w:val="28"/>
        </w:rPr>
        <w:t>广州市祈安地产代理有限公司（市中介协会会员单位，包含旗下所有加盟使用“祈安地产”品牌经营的门店）</w:t>
      </w:r>
      <w:r>
        <w:rPr>
          <w:rFonts w:eastAsia="楷体"/>
          <w:szCs w:val="28"/>
        </w:rPr>
        <w:t>。</w:t>
      </w:r>
    </w:p>
    <w:p>
      <w:pPr>
        <w:pStyle w:val="26"/>
        <w:spacing w:line="360" w:lineRule="auto"/>
        <w:rPr>
          <w:rFonts w:hint="default" w:eastAsia="楷体"/>
          <w:szCs w:val="28"/>
        </w:rPr>
      </w:pPr>
      <w:r>
        <w:rPr>
          <w:rFonts w:hint="default" w:eastAsia="楷体"/>
          <w:szCs w:val="28"/>
        </w:rPr>
        <w:t>（注：第1-</w:t>
      </w:r>
      <w:r>
        <w:rPr>
          <w:rFonts w:eastAsia="楷体"/>
          <w:szCs w:val="28"/>
        </w:rPr>
        <w:t>9</w:t>
      </w:r>
      <w:r>
        <w:rPr>
          <w:rFonts w:hint="default" w:eastAsia="楷体"/>
          <w:szCs w:val="28"/>
        </w:rPr>
        <w:t>家为续签，第1</w:t>
      </w:r>
      <w:r>
        <w:rPr>
          <w:rFonts w:eastAsia="楷体"/>
          <w:szCs w:val="28"/>
        </w:rPr>
        <w:t>0</w:t>
      </w:r>
      <w:r>
        <w:rPr>
          <w:rFonts w:hint="default" w:eastAsia="楷体"/>
          <w:szCs w:val="28"/>
        </w:rPr>
        <w:t>-1</w:t>
      </w:r>
      <w:r>
        <w:rPr>
          <w:rFonts w:eastAsia="楷体"/>
          <w:szCs w:val="28"/>
        </w:rPr>
        <w:t>4</w:t>
      </w:r>
      <w:r>
        <w:rPr>
          <w:rFonts w:hint="default" w:eastAsia="楷体"/>
          <w:szCs w:val="28"/>
        </w:rPr>
        <w:t>为新签署。）</w:t>
      </w:r>
    </w:p>
    <w:p>
      <w:pPr>
        <w:pStyle w:val="17"/>
        <w:spacing w:beforeAutospacing="0" w:afterAutospacing="0" w:line="360" w:lineRule="auto"/>
        <w:ind w:firstLine="480" w:firstLineChars="200"/>
        <w:rPr>
          <w:rFonts w:ascii="Times New Roman" w:hAnsi="Times New Roman" w:cs="Times New Roman" w:eastAsiaTheme="minorEastAsia"/>
          <w:szCs w:val="28"/>
        </w:rPr>
      </w:pPr>
      <w:r>
        <w:rPr>
          <w:rFonts w:ascii="Times New Roman" w:hAnsi="Times New Roman" w:cs="Times New Roman" w:eastAsiaTheme="minorEastAsia"/>
          <w:szCs w:val="28"/>
        </w:rPr>
        <w:t>经市中介协会统计，上述1</w:t>
      </w:r>
      <w:r>
        <w:rPr>
          <w:rFonts w:hint="eastAsia" w:ascii="Times New Roman" w:hAnsi="Times New Roman" w:cs="Times New Roman" w:eastAsiaTheme="minorEastAsia"/>
          <w:szCs w:val="28"/>
        </w:rPr>
        <w:t>4</w:t>
      </w:r>
      <w:r>
        <w:rPr>
          <w:rFonts w:ascii="Times New Roman" w:hAnsi="Times New Roman" w:cs="Times New Roman" w:eastAsiaTheme="minorEastAsia"/>
          <w:szCs w:val="28"/>
        </w:rPr>
        <w:t>家承诺机构在全市有2</w:t>
      </w:r>
      <w:r>
        <w:rPr>
          <w:rFonts w:hint="eastAsia" w:ascii="Times New Roman" w:hAnsi="Times New Roman" w:cs="Times New Roman" w:eastAsiaTheme="minorEastAsia"/>
          <w:szCs w:val="28"/>
        </w:rPr>
        <w:t>688</w:t>
      </w:r>
      <w:r>
        <w:rPr>
          <w:rFonts w:ascii="Times New Roman" w:hAnsi="Times New Roman" w:cs="Times New Roman" w:eastAsiaTheme="minorEastAsia"/>
          <w:szCs w:val="28"/>
        </w:rPr>
        <w:t>家备案门店，约占全市备案门店总量的54%，这意味着市民可在广州超过一半的中介门店体验到阳光承诺服务。消费者可结合自身实际需要，优先选择以上承诺机构提供房地产交易服务，并予以监督（服务监督热线：66670477）。市交监中心是此次承诺活动的监督机构，将对各参与承诺的中介机构在承诺期限内的表现进行全面监督。</w:t>
      </w:r>
    </w:p>
    <w:p>
      <w:pPr>
        <w:pStyle w:val="3"/>
        <w:spacing w:before="0" w:after="0" w:line="360" w:lineRule="auto"/>
        <w:rPr>
          <w:rFonts w:ascii="Times New Roman" w:hAnsi="Times New Roman" w:eastAsia="黑体" w:cs="Times New Roman"/>
          <w:b w:val="0"/>
          <w:color w:val="000000" w:themeColor="text1"/>
          <w:sz w:val="28"/>
          <w:szCs w:val="28"/>
          <w14:textFill>
            <w14:solidFill>
              <w14:schemeClr w14:val="tx1"/>
            </w14:solidFill>
          </w14:textFill>
        </w:rPr>
      </w:pPr>
      <w:bookmarkStart w:id="269" w:name="_Toc129785114"/>
      <w:bookmarkStart w:id="270" w:name="_Toc98168330"/>
      <w:r>
        <w:rPr>
          <w:rFonts w:ascii="Times New Roman" w:hAnsi="Times New Roman" w:eastAsia="黑体" w:cs="Times New Roman"/>
          <w:color w:val="000000" w:themeColor="text1"/>
          <w:sz w:val="28"/>
          <w:szCs w:val="28"/>
          <w14:textFill>
            <w14:solidFill>
              <w14:schemeClr w14:val="tx1"/>
            </w14:solidFill>
          </w14:textFill>
        </w:rPr>
        <w:t>（二）</w:t>
      </w:r>
      <w:r>
        <w:rPr>
          <w:rFonts w:hint="eastAsia" w:ascii="Times New Roman" w:hAnsi="Times New Roman" w:eastAsia="黑体" w:cs="Times New Roman"/>
          <w:color w:val="000000" w:themeColor="text1"/>
          <w:sz w:val="28"/>
          <w:szCs w:val="28"/>
          <w14:textFill>
            <w14:solidFill>
              <w14:schemeClr w14:val="tx1"/>
            </w14:solidFill>
          </w14:textFill>
        </w:rPr>
        <w:t>发布</w:t>
      </w:r>
      <w:r>
        <w:rPr>
          <w:rFonts w:ascii="Times New Roman" w:hAnsi="Times New Roman" w:eastAsia="黑体" w:cs="Times New Roman"/>
          <w:color w:val="000000" w:themeColor="text1"/>
          <w:sz w:val="28"/>
          <w:szCs w:val="28"/>
          <w14:textFill>
            <w14:solidFill>
              <w14:schemeClr w14:val="tx1"/>
            </w14:solidFill>
          </w14:textFill>
        </w:rPr>
        <w:t>《房地产中介服务规范》</w:t>
      </w:r>
      <w:bookmarkEnd w:id="269"/>
    </w:p>
    <w:p>
      <w:pPr>
        <w:spacing w:line="360" w:lineRule="auto"/>
        <w:ind w:firstLine="480"/>
        <w:rPr>
          <w:rFonts w:ascii="Times New Roman" w:hAnsi="Times New Roman"/>
          <w:color w:val="000000" w:themeColor="text1"/>
          <w:sz w:val="24"/>
          <w:szCs w:val="28"/>
          <w14:textFill>
            <w14:solidFill>
              <w14:schemeClr w14:val="tx1"/>
            </w14:solidFill>
          </w14:textFill>
        </w:rPr>
      </w:pPr>
      <w:r>
        <w:rPr>
          <w:rFonts w:ascii="Times New Roman" w:hAnsi="Times New Roman"/>
          <w:color w:val="000000" w:themeColor="text1"/>
          <w:sz w:val="24"/>
          <w:szCs w:val="28"/>
          <w14:textFill>
            <w14:solidFill>
              <w14:schemeClr w14:val="tx1"/>
            </w14:solidFill>
          </w14:textFill>
        </w:rPr>
        <w:t>2022年9月1日，由市住建局提出，市交监中心、市中介协会以及合富</w:t>
      </w:r>
      <w:r>
        <w:rPr>
          <w:rFonts w:hint="eastAsia" w:ascii="Times New Roman" w:hAnsi="Times New Roman"/>
          <w:color w:val="000000" w:themeColor="text1"/>
          <w:sz w:val="24"/>
          <w:szCs w:val="28"/>
          <w14:textFill>
            <w14:solidFill>
              <w14:schemeClr w14:val="tx1"/>
            </w14:solidFill>
          </w14:textFill>
        </w:rPr>
        <w:t>置业</w:t>
      </w:r>
      <w:r>
        <w:rPr>
          <w:rFonts w:ascii="Times New Roman" w:hAnsi="Times New Roman"/>
          <w:color w:val="000000" w:themeColor="text1"/>
          <w:sz w:val="24"/>
          <w:szCs w:val="28"/>
          <w14:textFill>
            <w14:solidFill>
              <w14:schemeClr w14:val="tx1"/>
            </w14:solidFill>
          </w14:textFill>
        </w:rPr>
        <w:t>、裕丰</w:t>
      </w:r>
      <w:r>
        <w:rPr>
          <w:rFonts w:hint="eastAsia" w:ascii="Times New Roman" w:hAnsi="Times New Roman"/>
          <w:color w:val="000000" w:themeColor="text1"/>
          <w:sz w:val="24"/>
          <w:szCs w:val="28"/>
          <w14:textFill>
            <w14:solidFill>
              <w14:schemeClr w14:val="tx1"/>
            </w14:solidFill>
          </w14:textFill>
        </w:rPr>
        <w:t>地产</w:t>
      </w:r>
      <w:r>
        <w:rPr>
          <w:rFonts w:ascii="Times New Roman" w:hAnsi="Times New Roman"/>
          <w:color w:val="000000" w:themeColor="text1"/>
          <w:sz w:val="24"/>
          <w:szCs w:val="28"/>
          <w14:textFill>
            <w14:solidFill>
              <w14:schemeClr w14:val="tx1"/>
            </w14:solidFill>
          </w14:textFill>
        </w:rPr>
        <w:t>、链家、中原</w:t>
      </w:r>
      <w:r>
        <w:rPr>
          <w:rFonts w:hint="eastAsia" w:ascii="Times New Roman" w:hAnsi="Times New Roman"/>
          <w:color w:val="000000" w:themeColor="text1"/>
          <w:sz w:val="24"/>
          <w:szCs w:val="28"/>
          <w14:textFill>
            <w14:solidFill>
              <w14:schemeClr w14:val="tx1"/>
            </w14:solidFill>
          </w14:textFill>
        </w:rPr>
        <w:t>地产</w:t>
      </w:r>
      <w:r>
        <w:rPr>
          <w:rFonts w:ascii="Times New Roman" w:hAnsi="Times New Roman"/>
          <w:color w:val="000000" w:themeColor="text1"/>
          <w:sz w:val="24"/>
          <w:szCs w:val="28"/>
          <w14:textFill>
            <w14:solidFill>
              <w14:schemeClr w14:val="tx1"/>
            </w14:solidFill>
          </w14:textFill>
        </w:rPr>
        <w:t>、兴业</w:t>
      </w:r>
      <w:r>
        <w:rPr>
          <w:rFonts w:hint="eastAsia" w:ascii="Times New Roman" w:hAnsi="Times New Roman"/>
          <w:color w:val="000000" w:themeColor="text1"/>
          <w:sz w:val="24"/>
          <w:szCs w:val="28"/>
          <w14:textFill>
            <w14:solidFill>
              <w14:schemeClr w14:val="tx1"/>
            </w14:solidFill>
          </w14:textFill>
        </w:rPr>
        <w:t>地产</w:t>
      </w:r>
      <w:r>
        <w:rPr>
          <w:rFonts w:ascii="Times New Roman" w:hAnsi="Times New Roman"/>
          <w:color w:val="000000" w:themeColor="text1"/>
          <w:sz w:val="24"/>
          <w:szCs w:val="28"/>
          <w14:textFill>
            <w14:solidFill>
              <w14:schemeClr w14:val="tx1"/>
            </w14:solidFill>
          </w14:textFill>
        </w:rPr>
        <w:t>、方圆</w:t>
      </w:r>
      <w:r>
        <w:rPr>
          <w:rFonts w:hint="eastAsia" w:ascii="Times New Roman" w:hAnsi="Times New Roman"/>
          <w:color w:val="000000" w:themeColor="text1"/>
          <w:sz w:val="24"/>
          <w:szCs w:val="28"/>
          <w14:textFill>
            <w14:solidFill>
              <w14:schemeClr w14:val="tx1"/>
            </w14:solidFill>
          </w14:textFill>
        </w:rPr>
        <w:t>地产</w:t>
      </w:r>
      <w:r>
        <w:rPr>
          <w:rFonts w:ascii="Times New Roman" w:hAnsi="Times New Roman"/>
          <w:color w:val="000000" w:themeColor="text1"/>
          <w:sz w:val="24"/>
          <w:szCs w:val="28"/>
          <w14:textFill>
            <w14:solidFill>
              <w14:schemeClr w14:val="tx1"/>
            </w14:solidFill>
          </w14:textFill>
        </w:rPr>
        <w:t>以及良策等7家市中介协会会员单位参与起草编制的广州市公共服务类地方标准《房地产中介服务规范》（以下简称“服务规范”）正式实施。《服务规范》规定了房地产中介服务的术语和定义、房地产中介机构管理、存量房转让中介服务、房屋租赁中介服务、新建商品房销售代理服务和抵押借款及转移登记中介服务等多个方面的内容，适用于在广州市范围内从事房地产中介业务的服务机构及从业人员，旨在明确和细化房地产中介机构及从业人员在开展房地产代理、居间等中介业务的服务流程及标准，更好地指导房地产中介机构以及从业人员更加科学、合理、规范地开展业务，提高经营管理水平和服务能力，提升行业形象，维护房地产市场秩序，切实保障房地产交易当事人的合法权益，促进房地产行业的持续健康稳定发展。</w:t>
      </w:r>
    </w:p>
    <w:p>
      <w:pPr>
        <w:pStyle w:val="26"/>
        <w:ind w:firstLine="0"/>
        <w:jc w:val="center"/>
        <w:rPr>
          <w:rFonts w:hint="default"/>
        </w:rPr>
      </w:pPr>
      <w:r>
        <w:rPr>
          <w:rFonts w:hint="default"/>
        </w:rPr>
        <w:drawing>
          <wp:inline distT="0" distB="0" distL="0" distR="0">
            <wp:extent cx="1600200" cy="1600200"/>
            <wp:effectExtent l="0" t="0" r="0" b="0"/>
            <wp:docPr id="32" name="图片 32" descr="D:\研究部\行业信用白皮书与行业生态研究报告\2022年中介行业信用白皮书\广州市地方标准--房地产中介服务规范.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descr="D:\研究部\行业信用白皮书与行业生态研究报告\2022年中介行业信用白皮书\广州市地方标准--房地产中介服务规范.png"/>
                    <pic:cNvPicPr>
                      <a:picLocks noChangeAspect="true" noChangeArrowheads="true"/>
                    </pic:cNvPicPr>
                  </pic:nvPicPr>
                  <pic:blipFill>
                    <a:blip r:embed="rId51">
                      <a:extLst>
                        <a:ext uri="{28A0092B-C50C-407E-A947-70E740481C1C}">
                          <a14:useLocalDpi xmlns:a14="http://schemas.microsoft.com/office/drawing/2010/main" val="false"/>
                        </a:ext>
                      </a:extLst>
                    </a:blip>
                    <a:srcRect/>
                    <a:stretch>
                      <a:fillRect/>
                    </a:stretch>
                  </pic:blipFill>
                  <pic:spPr>
                    <a:xfrm>
                      <a:off x="0" y="0"/>
                      <a:ext cx="1600200" cy="1600200"/>
                    </a:xfrm>
                    <a:prstGeom prst="rect">
                      <a:avLst/>
                    </a:prstGeom>
                    <a:noFill/>
                    <a:ln>
                      <a:noFill/>
                    </a:ln>
                  </pic:spPr>
                </pic:pic>
              </a:graphicData>
            </a:graphic>
          </wp:inline>
        </w:drawing>
      </w:r>
    </w:p>
    <w:p>
      <w:pPr>
        <w:pStyle w:val="26"/>
        <w:ind w:firstLine="0"/>
        <w:jc w:val="center"/>
        <w:rPr>
          <w:rFonts w:hint="default"/>
        </w:rPr>
      </w:pPr>
      <w:r>
        <w:rPr>
          <w:rFonts w:hint="default"/>
        </w:rPr>
        <w:t>▲扫码下载《服务规范》全文</w:t>
      </w:r>
    </w:p>
    <w:bookmarkEnd w:id="268"/>
    <w:bookmarkEnd w:id="270"/>
    <w:p>
      <w:pPr>
        <w:pStyle w:val="3"/>
        <w:spacing w:before="120" w:beforeLines="50" w:after="120" w:afterLines="50" w:line="360" w:lineRule="auto"/>
        <w:rPr>
          <w:rFonts w:ascii="Times New Roman" w:hAnsi="Times New Roman" w:eastAsia="黑体" w:cs="Times New Roman"/>
          <w:color w:val="000000" w:themeColor="text1"/>
          <w:sz w:val="28"/>
          <w:szCs w:val="28"/>
          <w14:textFill>
            <w14:solidFill>
              <w14:schemeClr w14:val="tx1"/>
            </w14:solidFill>
          </w14:textFill>
        </w:rPr>
      </w:pPr>
      <w:bookmarkStart w:id="271" w:name="_Toc64643533"/>
      <w:bookmarkStart w:id="272" w:name="_Toc98168331"/>
      <w:bookmarkStart w:id="273" w:name="_Toc129785115"/>
      <w:r>
        <w:rPr>
          <w:rFonts w:ascii="Times New Roman" w:hAnsi="Times New Roman" w:eastAsia="黑体" w:cs="Times New Roman"/>
          <w:color w:val="000000" w:themeColor="text1"/>
          <w:sz w:val="28"/>
          <w:szCs w:val="28"/>
          <w14:textFill>
            <w14:solidFill>
              <w14:schemeClr w14:val="tx1"/>
            </w14:solidFill>
          </w14:textFill>
        </w:rPr>
        <w:t>（三）推动行业信用评价数据</w:t>
      </w:r>
      <w:bookmarkEnd w:id="271"/>
      <w:r>
        <w:rPr>
          <w:rFonts w:ascii="Times New Roman" w:hAnsi="Times New Roman" w:eastAsia="黑体" w:cs="Times New Roman"/>
          <w:color w:val="000000" w:themeColor="text1"/>
          <w:sz w:val="28"/>
          <w:szCs w:val="28"/>
          <w14:textFill>
            <w14:solidFill>
              <w14:schemeClr w14:val="tx1"/>
            </w14:solidFill>
          </w14:textFill>
        </w:rPr>
        <w:t>共享</w:t>
      </w:r>
      <w:bookmarkEnd w:id="272"/>
      <w:bookmarkEnd w:id="273"/>
    </w:p>
    <w:p>
      <w:pPr>
        <w:spacing w:line="360" w:lineRule="auto"/>
        <w:ind w:firstLine="480" w:firstLineChars="200"/>
        <w:rPr>
          <w:rFonts w:ascii="Times New Roman" w:hAnsi="Times New Roman"/>
          <w:color w:val="000000" w:themeColor="text1"/>
          <w:sz w:val="24"/>
          <w:szCs w:val="28"/>
          <w14:textFill>
            <w14:solidFill>
              <w14:schemeClr w14:val="tx1"/>
            </w14:solidFill>
          </w14:textFill>
        </w:rPr>
      </w:pPr>
      <w:r>
        <w:rPr>
          <w:rFonts w:ascii="Times New Roman" w:hAnsi="Times New Roman"/>
          <w:color w:val="000000" w:themeColor="text1"/>
          <w:sz w:val="24"/>
          <w:szCs w:val="28"/>
          <w14:textFill>
            <w14:solidFill>
              <w14:schemeClr w14:val="tx1"/>
            </w14:solidFill>
          </w14:textFill>
        </w:rPr>
        <w:t>为持续加强房地产中介信用档案的推广应用，市中介协会于2021年4月发布《关于房地产中介信用数据接口服务的说明》。幸福里和房天下等互联网房源信息发布平台已向市中介协会提出对接申请，目前仍在系统开发当中。市中介协会副会长单位中原地产和互联网房源信息发布平台贝壳找房广州站先后与市中介协会完成对接，其公司</w:t>
      </w:r>
      <w:r>
        <w:rPr>
          <w:rFonts w:hint="eastAsia" w:ascii="Times New Roman" w:hAnsi="Times New Roman"/>
          <w:color w:val="000000" w:themeColor="text1"/>
          <w:sz w:val="24"/>
          <w:szCs w:val="28"/>
          <w14:textFill>
            <w14:solidFill>
              <w14:schemeClr w14:val="tx1"/>
            </w14:solidFill>
          </w14:textFill>
        </w:rPr>
        <w:t>、平台</w:t>
      </w:r>
      <w:r>
        <w:rPr>
          <w:rFonts w:ascii="Times New Roman" w:hAnsi="Times New Roman"/>
          <w:color w:val="000000" w:themeColor="text1"/>
          <w:sz w:val="24"/>
          <w:szCs w:val="28"/>
          <w14:textFill>
            <w14:solidFill>
              <w14:schemeClr w14:val="tx1"/>
            </w14:solidFill>
          </w14:textFill>
        </w:rPr>
        <w:t>的各线上房源信息发布渠道均已展示从业人员或旗下加盟机构和并网经纪人的信用评价数据。此外，市中介协会还每月定期发布《行业不良行为名单应用指引》《广州市房地产中介从业人员信用信息卡办理指引》和《房地产中介信用档案使用指引》，方便广大中介机构及市民消费者及时查询和了解中介机构及从业人员的信用状况。</w:t>
      </w:r>
    </w:p>
    <w:p>
      <w:pPr>
        <w:pStyle w:val="26"/>
        <w:ind w:firstLine="0"/>
        <w:jc w:val="center"/>
        <w:rPr>
          <w:rFonts w:hint="default"/>
        </w:rPr>
      </w:pPr>
      <w:r>
        <w:rPr>
          <w:rFonts w:hint="default"/>
        </w:rPr>
        <w:drawing>
          <wp:inline distT="0" distB="0" distL="0" distR="0">
            <wp:extent cx="5293360" cy="3239770"/>
            <wp:effectExtent l="0" t="0" r="2540" b="0"/>
            <wp:docPr id="28"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true"/>
                    </pic:cNvPicPr>
                  </pic:nvPicPr>
                  <pic:blipFill>
                    <a:blip r:embed="rId52"/>
                    <a:stretch>
                      <a:fillRect/>
                    </a:stretch>
                  </pic:blipFill>
                  <pic:spPr>
                    <a:xfrm>
                      <a:off x="0" y="0"/>
                      <a:ext cx="5293796" cy="3240000"/>
                    </a:xfrm>
                    <a:prstGeom prst="rect">
                      <a:avLst/>
                    </a:prstGeom>
                  </pic:spPr>
                </pic:pic>
              </a:graphicData>
            </a:graphic>
          </wp:inline>
        </w:drawing>
      </w:r>
    </w:p>
    <w:p>
      <w:pPr>
        <w:pStyle w:val="26"/>
        <w:ind w:firstLine="0"/>
        <w:jc w:val="center"/>
        <w:rPr>
          <w:rFonts w:hint="default"/>
        </w:rPr>
      </w:pPr>
      <w:r>
        <w:rPr>
          <w:rFonts w:hint="default"/>
        </w:rPr>
        <w:t>▲中原地产线上房源信息发布渠道展示从业人员信用信息</w:t>
      </w:r>
    </w:p>
    <w:p>
      <w:pPr>
        <w:pStyle w:val="26"/>
        <w:ind w:firstLine="0"/>
        <w:jc w:val="center"/>
        <w:rPr>
          <w:rFonts w:hint="default"/>
        </w:rPr>
      </w:pPr>
      <w:r>
        <w:rPr>
          <w:rFonts w:hint="default"/>
        </w:rPr>
        <w:drawing>
          <wp:inline distT="0" distB="0" distL="0" distR="0">
            <wp:extent cx="5264785" cy="3459480"/>
            <wp:effectExtent l="19050" t="0" r="0" b="0"/>
            <wp:docPr id="10" name="图片 10" descr="C:\Users\gzrea\AppData\Local\Temp\WeChat Files\dca32e5121fc0104c2a4e3a671b6fd1.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C:\Users\gzrea\AppData\Local\Temp\WeChat Files\dca32e5121fc0104c2a4e3a671b6fd1.jpg"/>
                    <pic:cNvPicPr>
                      <a:picLocks noChangeAspect="true" noChangeArrowheads="true"/>
                    </pic:cNvPicPr>
                  </pic:nvPicPr>
                  <pic:blipFill>
                    <a:blip r:embed="rId53">
                      <a:extLst>
                        <a:ext uri="{28A0092B-C50C-407E-A947-70E740481C1C}">
                          <a14:useLocalDpi xmlns:a14="http://schemas.microsoft.com/office/drawing/2010/main" val="false"/>
                        </a:ext>
                      </a:extLst>
                    </a:blip>
                    <a:srcRect/>
                    <a:stretch>
                      <a:fillRect/>
                    </a:stretch>
                  </pic:blipFill>
                  <pic:spPr>
                    <a:xfrm>
                      <a:off x="0" y="0"/>
                      <a:ext cx="5266139" cy="3460473"/>
                    </a:xfrm>
                    <a:prstGeom prst="rect">
                      <a:avLst/>
                    </a:prstGeom>
                    <a:noFill/>
                    <a:ln>
                      <a:noFill/>
                    </a:ln>
                  </pic:spPr>
                </pic:pic>
              </a:graphicData>
            </a:graphic>
          </wp:inline>
        </w:drawing>
      </w:r>
    </w:p>
    <w:p>
      <w:pPr>
        <w:pStyle w:val="26"/>
        <w:ind w:firstLine="0"/>
        <w:jc w:val="center"/>
        <w:rPr>
          <w:rFonts w:hint="default"/>
        </w:rPr>
      </w:pPr>
      <w:r>
        <w:rPr>
          <w:rFonts w:hint="default"/>
        </w:rPr>
        <w:t>▲贝壳找房线上房源信息发布渠道展示从业人员信用信息</w:t>
      </w:r>
    </w:p>
    <w:p>
      <w:pPr>
        <w:pStyle w:val="3"/>
        <w:spacing w:before="120" w:beforeLines="50" w:after="120" w:afterLines="50" w:line="360" w:lineRule="auto"/>
        <w:rPr>
          <w:rFonts w:ascii="Times New Roman" w:hAnsi="Times New Roman" w:eastAsia="黑体" w:cs="Times New Roman"/>
          <w:bCs w:val="0"/>
          <w:color w:val="000000" w:themeColor="text1"/>
          <w:sz w:val="28"/>
          <w:szCs w:val="28"/>
          <w14:textFill>
            <w14:solidFill>
              <w14:schemeClr w14:val="tx1"/>
            </w14:solidFill>
          </w14:textFill>
        </w:rPr>
      </w:pPr>
      <w:bookmarkStart w:id="274" w:name="_Toc64643534"/>
      <w:bookmarkStart w:id="275" w:name="_Toc98168332"/>
      <w:bookmarkStart w:id="276" w:name="_Toc129785116"/>
      <w:r>
        <w:rPr>
          <w:rFonts w:ascii="Times New Roman" w:hAnsi="Times New Roman" w:eastAsia="黑体" w:cs="Times New Roman"/>
          <w:color w:val="000000" w:themeColor="text1"/>
          <w:sz w:val="28"/>
          <w:szCs w:val="28"/>
          <w14:textFill>
            <w14:solidFill>
              <w14:schemeClr w14:val="tx1"/>
            </w14:solidFill>
          </w14:textFill>
        </w:rPr>
        <w:t>（四）通过同业监督机制净化行业用人环境</w:t>
      </w:r>
      <w:bookmarkEnd w:id="274"/>
      <w:bookmarkEnd w:id="275"/>
      <w:bookmarkEnd w:id="276"/>
    </w:p>
    <w:p>
      <w:pPr>
        <w:spacing w:line="360" w:lineRule="auto"/>
        <w:ind w:firstLine="562"/>
        <w:rPr>
          <w:rFonts w:ascii="Times New Roman" w:hAnsi="Times New Roman"/>
          <w:color w:val="000000" w:themeColor="text1"/>
          <w:sz w:val="24"/>
          <w:szCs w:val="28"/>
          <w14:textFill>
            <w14:solidFill>
              <w14:schemeClr w14:val="tx1"/>
            </w14:solidFill>
          </w14:textFill>
        </w:rPr>
      </w:pPr>
      <w:r>
        <w:rPr>
          <w:rFonts w:ascii="Times New Roman" w:hAnsi="Times New Roman"/>
          <w:color w:val="000000" w:themeColor="text1"/>
          <w:sz w:val="24"/>
          <w:szCs w:val="28"/>
          <w14:textFill>
            <w14:solidFill>
              <w14:schemeClr w14:val="tx1"/>
            </w14:solidFill>
          </w14:textFill>
        </w:rPr>
        <w:t>为提高从业人员规范执业的服务意识，净化行业用人环境。市中介协会于2012年4月发布实施《广州市房地产中介行业“严重失信经纪人名单”管理办法》，并于2013年初</w:t>
      </w:r>
      <w:r>
        <w:rPr>
          <w:rFonts w:hint="eastAsia" w:ascii="Times New Roman" w:hAnsi="Times New Roman"/>
          <w:color w:val="000000" w:themeColor="text1"/>
          <w:sz w:val="24"/>
          <w:szCs w:val="28"/>
          <w:lang w:eastAsia="zh-CN"/>
          <w14:textFill>
            <w14:solidFill>
              <w14:schemeClr w14:val="tx1"/>
            </w14:solidFill>
          </w14:textFill>
        </w:rPr>
        <w:t>，结合实践情况对该办法作了进一步修订完善，同年</w:t>
      </w:r>
      <w:r>
        <w:rPr>
          <w:rFonts w:ascii="Times New Roman" w:hAnsi="Times New Roman"/>
          <w:color w:val="000000" w:themeColor="text1"/>
          <w:sz w:val="24"/>
          <w:szCs w:val="28"/>
          <w14:textFill>
            <w14:solidFill>
              <w14:schemeClr w14:val="tx1"/>
            </w14:solidFill>
          </w14:textFill>
        </w:rPr>
        <w:t>4月</w:t>
      </w:r>
      <w:r>
        <w:rPr>
          <w:rFonts w:hint="eastAsia" w:ascii="Times New Roman" w:hAnsi="Times New Roman"/>
          <w:color w:val="000000" w:themeColor="text1"/>
          <w:sz w:val="24"/>
          <w:szCs w:val="28"/>
          <w:lang w:eastAsia="zh-CN"/>
          <w14:textFill>
            <w14:solidFill>
              <w14:schemeClr w14:val="tx1"/>
            </w14:solidFill>
          </w14:textFill>
        </w:rPr>
        <w:t>发布了</w:t>
      </w:r>
      <w:r>
        <w:rPr>
          <w:rFonts w:ascii="Times New Roman" w:hAnsi="Times New Roman"/>
          <w:color w:val="000000" w:themeColor="text1"/>
          <w:sz w:val="24"/>
          <w:szCs w:val="28"/>
          <w14:textFill>
            <w14:solidFill>
              <w14:schemeClr w14:val="tx1"/>
            </w14:solidFill>
          </w14:textFill>
        </w:rPr>
        <w:t>《广州市房地产中介行业不良行为管理办法》（附件4为2019年修订版）。办法推出后效果总体良好，截至目前，市中介协会已在行业内部公开不良行为人员记录</w:t>
      </w:r>
      <w:r>
        <w:rPr>
          <w:rFonts w:ascii="Times New Roman" w:hAnsi="Times New Roman"/>
          <w:color w:val="000000" w:themeColor="text1"/>
          <w:sz w:val="24"/>
          <w14:textFill>
            <w14:solidFill>
              <w14:schemeClr w14:val="tx1"/>
            </w14:solidFill>
          </w14:textFill>
        </w:rPr>
        <w:t>408</w:t>
      </w:r>
      <w:r>
        <w:rPr>
          <w:rFonts w:ascii="Times New Roman" w:hAnsi="Times New Roman"/>
          <w:color w:val="000000" w:themeColor="text1"/>
          <w:sz w:val="24"/>
          <w:szCs w:val="28"/>
          <w14:textFill>
            <w14:solidFill>
              <w14:schemeClr w14:val="tx1"/>
            </w14:solidFill>
          </w14:textFill>
        </w:rPr>
        <w:t>条。</w:t>
      </w:r>
    </w:p>
    <w:p>
      <w:pPr>
        <w:spacing w:line="360" w:lineRule="auto"/>
        <w:ind w:firstLine="480" w:firstLineChars="200"/>
        <w:rPr>
          <w:rFonts w:ascii="Times New Roman" w:hAnsi="Times New Roman"/>
          <w:color w:val="000000" w:themeColor="text1"/>
          <w:sz w:val="24"/>
          <w:szCs w:val="28"/>
          <w14:textFill>
            <w14:solidFill>
              <w14:schemeClr w14:val="tx1"/>
            </w14:solidFill>
          </w14:textFill>
        </w:rPr>
      </w:pPr>
      <w:r>
        <w:rPr>
          <w:rFonts w:ascii="Times New Roman" w:hAnsi="Times New Roman"/>
          <w:color w:val="000000" w:themeColor="text1"/>
          <w:sz w:val="24"/>
          <w:szCs w:val="28"/>
          <w14:textFill>
            <w14:solidFill>
              <w14:schemeClr w14:val="tx1"/>
            </w14:solidFill>
          </w14:textFill>
        </w:rPr>
        <w:t>为建立健全行业自律公约和职业道德准则，树立行业组织权威性，打破行政区域界限，广州市房地产中介协会于2018年5月与深圳市房地产中介协会、东莞市房地产中介协会、惠州市房地产中介行业协会、佛山市房地产业协会联合签署《行业不良行为名单互认备忘录》，五地协会互相交换、通报和承认各自建立的“行业不良行为名单”数据，并依据各自协会的规定，对被纳入行业不良行为名单的中介机构、从业人员，进行禁业限制、公示、行业自律惩戒等处理，实现联合惩戒。自签署备忘录以来，五地协会相互通报了九批行业不良行为名单，至今五地协会累计发布319条违规中介机构/人员信息。</w:t>
      </w:r>
      <w:r>
        <w:rPr>
          <w:rFonts w:hint="eastAsia" w:ascii="Times New Roman" w:hAnsi="Times New Roman"/>
          <w:color w:val="000000" w:themeColor="text1"/>
          <w:sz w:val="24"/>
          <w:szCs w:val="28"/>
          <w14:textFill>
            <w14:solidFill>
              <w14:schemeClr w14:val="tx1"/>
            </w14:solidFill>
          </w14:textFill>
        </w:rPr>
        <w:t>2022年市中介协会交换的广州房地产中介从业人员不良行为名单见表13、表14。</w:t>
      </w:r>
    </w:p>
    <w:p>
      <w:pPr>
        <w:pStyle w:val="26"/>
        <w:ind w:firstLine="0"/>
        <w:jc w:val="center"/>
        <w:rPr>
          <w:rFonts w:hint="default"/>
        </w:rPr>
      </w:pPr>
      <w:r>
        <w:rPr>
          <w:rFonts w:hint="default"/>
        </w:rPr>
        <w:t>表1</w:t>
      </w:r>
      <w:r>
        <w:t>3</w:t>
      </w:r>
      <w:r>
        <w:rPr>
          <w:rFonts w:hint="default"/>
        </w:rPr>
        <w:t xml:space="preserve">  2022年</w:t>
      </w:r>
      <w:r>
        <w:t>受全市住建系统行政处罚的从业人员不良行为</w:t>
      </w:r>
      <w:r>
        <w:rPr>
          <w:rFonts w:hint="default"/>
        </w:rPr>
        <w:t>名单</w:t>
      </w:r>
    </w:p>
    <w:tbl>
      <w:tblPr>
        <w:tblStyle w:val="20"/>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990"/>
        <w:gridCol w:w="2385"/>
        <w:gridCol w:w="2758"/>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序号</w:t>
            </w:r>
          </w:p>
        </w:tc>
        <w:tc>
          <w:tcPr>
            <w:tcW w:w="990"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姓名</w:t>
            </w:r>
          </w:p>
        </w:tc>
        <w:tc>
          <w:tcPr>
            <w:tcW w:w="2385"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证件号码</w:t>
            </w:r>
          </w:p>
        </w:tc>
        <w:tc>
          <w:tcPr>
            <w:tcW w:w="2758"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不良行为摘要</w:t>
            </w:r>
          </w:p>
        </w:tc>
        <w:tc>
          <w:tcPr>
            <w:tcW w:w="2064"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认定单位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4"/>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黄*波</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44023319******8013</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为交易当事人规避房屋交易税费等非法目的，就同一房屋签订不同交易价款的合同提供便利</w:t>
            </w:r>
          </w:p>
        </w:tc>
        <w:tc>
          <w:tcPr>
            <w:tcW w:w="2064"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广州市住房和城乡建设局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4"/>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孙*耀</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44081119******0076</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为禁止转让和抵押的房地产提供中介服务</w:t>
            </w:r>
          </w:p>
        </w:tc>
        <w:tc>
          <w:tcPr>
            <w:tcW w:w="2064"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广州市住房和城乡建设局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97" w:type="dxa"/>
            <w:vAlign w:val="center"/>
          </w:tcPr>
          <w:p>
            <w:pPr>
              <w:widowControl/>
              <w:numPr>
                <w:ilvl w:val="0"/>
                <w:numId w:val="4"/>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李*瑞</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44023319******201X</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为禁止转让和抵押的房地产提供中介服务</w:t>
            </w:r>
          </w:p>
        </w:tc>
        <w:tc>
          <w:tcPr>
            <w:tcW w:w="2064"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广州市住房和城乡建设局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4"/>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杨*权</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44078319******2416</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存在未书面告知交易当事人房地产中介机构及其执业人员与当事人是存在利害关系的行为</w:t>
            </w:r>
          </w:p>
        </w:tc>
        <w:tc>
          <w:tcPr>
            <w:tcW w:w="2064"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广州市房屋交易监管中心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4"/>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游*明</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44148119******4190</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未向交易当事人说明和书面告知与委托房屋有利害关系</w:t>
            </w:r>
          </w:p>
        </w:tc>
        <w:tc>
          <w:tcPr>
            <w:tcW w:w="2064"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黄埔区住房和城乡建设局</w:t>
            </w:r>
          </w:p>
        </w:tc>
      </w:tr>
    </w:tbl>
    <w:p>
      <w:pPr>
        <w:pStyle w:val="26"/>
        <w:ind w:firstLine="0"/>
        <w:jc w:val="center"/>
        <w:rPr>
          <w:rFonts w:hint="default"/>
        </w:rPr>
      </w:pPr>
    </w:p>
    <w:p>
      <w:pPr>
        <w:pStyle w:val="26"/>
        <w:jc w:val="center"/>
        <w:rPr>
          <w:rFonts w:hint="default"/>
        </w:rPr>
      </w:pPr>
      <w:r>
        <w:rPr>
          <w:rFonts w:hint="default"/>
        </w:rPr>
        <w:t>表1</w:t>
      </w:r>
      <w:r>
        <w:t>4</w:t>
      </w:r>
      <w:r>
        <w:rPr>
          <w:rFonts w:hint="default"/>
        </w:rPr>
        <w:t xml:space="preserve">  2022年市中介协会公示的</w:t>
      </w:r>
      <w:r>
        <w:t>从业人员</w:t>
      </w:r>
      <w:r>
        <w:rPr>
          <w:rFonts w:hint="default"/>
        </w:rPr>
        <w:t>不良行为名单</w:t>
      </w:r>
    </w:p>
    <w:tbl>
      <w:tblPr>
        <w:tblStyle w:val="20"/>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990"/>
        <w:gridCol w:w="2385"/>
        <w:gridCol w:w="2758"/>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序号</w:t>
            </w:r>
          </w:p>
        </w:tc>
        <w:tc>
          <w:tcPr>
            <w:tcW w:w="990"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姓名</w:t>
            </w:r>
          </w:p>
        </w:tc>
        <w:tc>
          <w:tcPr>
            <w:tcW w:w="2385"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证件号码</w:t>
            </w:r>
          </w:p>
        </w:tc>
        <w:tc>
          <w:tcPr>
            <w:tcW w:w="2758"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不良行为摘要</w:t>
            </w:r>
          </w:p>
        </w:tc>
        <w:tc>
          <w:tcPr>
            <w:tcW w:w="2064" w:type="dxa"/>
            <w:vAlign w:val="center"/>
          </w:tcPr>
          <w:p>
            <w:pPr>
              <w:jc w:val="center"/>
              <w:rPr>
                <w:rFonts w:ascii="Times New Roman" w:hAnsi="Times New Roman" w:eastAsia="黑体"/>
                <w:b/>
                <w:bCs/>
                <w:color w:val="000000"/>
                <w:sz w:val="22"/>
                <w:szCs w:val="24"/>
              </w:rPr>
            </w:pPr>
            <w:r>
              <w:rPr>
                <w:rFonts w:ascii="Times New Roman" w:hAnsi="Times New Roman" w:eastAsia="黑体"/>
                <w:b/>
                <w:bCs/>
                <w:color w:val="000000"/>
                <w:sz w:val="22"/>
                <w:szCs w:val="24"/>
              </w:rPr>
              <w:t>认定单位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梁*勇</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44122519******3210</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何*语</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4082319******6216</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郑*忠</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44092319******4632</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张*</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34262219******3234</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韦*</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45273119******5713</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黄*平</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44082519******0032</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钟*</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44082319******0219</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陈</w:t>
            </w:r>
            <w:r>
              <w:rPr>
                <w:rFonts w:hint="eastAsia" w:ascii="Times New Roman" w:hAnsi="Times New Roman" w:eastAsia="仿宋"/>
                <w:color w:val="000000"/>
                <w:kern w:val="0"/>
                <w:sz w:val="22"/>
              </w:rPr>
              <w:t>*</w:t>
            </w:r>
            <w:r>
              <w:rPr>
                <w:rFonts w:ascii="Times New Roman" w:hAnsi="Times New Roman" w:eastAsia="仿宋"/>
                <w:color w:val="000000"/>
                <w:kern w:val="0"/>
                <w:sz w:val="22"/>
              </w:rPr>
              <w:t>朋</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41282519******8838</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周*宏</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44088219******0499</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黄*麟</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44068219******1315</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萧*棋</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44011119******2415</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以个人名义接受委托，提供中介服务或将客户带至其他中介机构</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刘*彬</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44532219******461X</w:t>
            </w:r>
          </w:p>
        </w:tc>
        <w:tc>
          <w:tcPr>
            <w:tcW w:w="2758" w:type="dxa"/>
            <w:vAlign w:val="center"/>
          </w:tcPr>
          <w:p>
            <w:pPr>
              <w:widowControl/>
              <w:textAlignment w:val="center"/>
              <w:rPr>
                <w:rFonts w:ascii="Times New Roman" w:hAnsi="Times New Roman" w:eastAsia="仿宋"/>
                <w:color w:val="000000"/>
                <w:kern w:val="0"/>
                <w:sz w:val="22"/>
              </w:rPr>
            </w:pPr>
            <w:r>
              <w:rPr>
                <w:rFonts w:ascii="Times New Roman" w:hAnsi="Times New Roman" w:eastAsia="仿宋"/>
                <w:color w:val="000000"/>
                <w:kern w:val="0"/>
                <w:sz w:val="22"/>
              </w:rPr>
              <w:t>以个人名义接受委托，提供中介服务或将客户带至其他中介机构</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李*</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43042219******9099</w:t>
            </w:r>
          </w:p>
        </w:tc>
        <w:tc>
          <w:tcPr>
            <w:tcW w:w="2758"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张*杏</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42011519******6211</w:t>
            </w:r>
          </w:p>
        </w:tc>
        <w:tc>
          <w:tcPr>
            <w:tcW w:w="2758"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Align w:val="center"/>
          </w:tcPr>
          <w:p>
            <w:pPr>
              <w:widowControl/>
              <w:numPr>
                <w:ilvl w:val="0"/>
                <w:numId w:val="5"/>
              </w:numPr>
              <w:jc w:val="center"/>
              <w:textAlignment w:val="center"/>
              <w:rPr>
                <w:rFonts w:ascii="Times New Roman" w:hAnsi="Times New Roman" w:eastAsia="仿宋"/>
                <w:color w:val="000000"/>
                <w:kern w:val="0"/>
                <w:sz w:val="22"/>
              </w:rPr>
            </w:pPr>
          </w:p>
        </w:tc>
        <w:tc>
          <w:tcPr>
            <w:tcW w:w="990"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戴*</w:t>
            </w:r>
          </w:p>
        </w:tc>
        <w:tc>
          <w:tcPr>
            <w:tcW w:w="2385"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44082319******1145</w:t>
            </w:r>
          </w:p>
        </w:tc>
        <w:tc>
          <w:tcPr>
            <w:tcW w:w="2758" w:type="dxa"/>
            <w:vAlign w:val="center"/>
          </w:tcPr>
          <w:p>
            <w:pPr>
              <w:widowControl/>
              <w:jc w:val="center"/>
              <w:textAlignment w:val="center"/>
              <w:rPr>
                <w:rFonts w:ascii="Times New Roman" w:hAnsi="Times New Roman" w:eastAsia="仿宋"/>
                <w:color w:val="000000"/>
                <w:kern w:val="0"/>
                <w:sz w:val="22"/>
              </w:rPr>
            </w:pPr>
            <w:r>
              <w:rPr>
                <w:rFonts w:ascii="Times New Roman" w:hAnsi="Times New Roman" w:eastAsia="仿宋"/>
                <w:color w:val="000000"/>
                <w:kern w:val="0"/>
                <w:sz w:val="22"/>
              </w:rPr>
              <w:t>挪用、占用、擅自代收代管佣金、交易资金等</w:t>
            </w:r>
          </w:p>
        </w:tc>
        <w:tc>
          <w:tcPr>
            <w:tcW w:w="2064" w:type="dxa"/>
          </w:tcPr>
          <w:p>
            <w:pPr>
              <w:jc w:val="center"/>
            </w:pPr>
            <w:r>
              <w:rPr>
                <w:rFonts w:ascii="Times New Roman" w:hAnsi="Times New Roman" w:eastAsia="仿宋"/>
                <w:color w:val="000000"/>
                <w:kern w:val="0"/>
                <w:sz w:val="22"/>
              </w:rPr>
              <w:t>广州市房地产中介协会</w:t>
            </w:r>
          </w:p>
        </w:tc>
      </w:tr>
    </w:tbl>
    <w:p>
      <w:pPr>
        <w:pStyle w:val="26"/>
        <w:ind w:firstLine="0"/>
        <w:jc w:val="right"/>
        <w:rPr>
          <w:rFonts w:hint="default"/>
          <w:sz w:val="22"/>
        </w:rPr>
      </w:pPr>
      <w:r>
        <w:rPr>
          <w:rFonts w:eastAsiaTheme="minorEastAsia"/>
          <w:color w:val="000000" w:themeColor="text1"/>
          <w:sz w:val="22"/>
          <w:szCs w:val="28"/>
          <w14:textFill>
            <w14:solidFill>
              <w14:schemeClr w14:val="tx1"/>
            </w14:solidFill>
          </w14:textFill>
        </w:rPr>
        <w:t>数据来源：广州市房地产中介协会</w:t>
      </w:r>
    </w:p>
    <w:p>
      <w:pPr>
        <w:pStyle w:val="3"/>
        <w:spacing w:before="120" w:beforeLines="50" w:after="120" w:afterLines="50" w:line="360" w:lineRule="auto"/>
        <w:ind w:firstLine="560"/>
        <w:rPr>
          <w:rFonts w:ascii="Times New Roman" w:hAnsi="Times New Roman" w:eastAsia="黑体" w:cs="Times New Roman"/>
          <w:b w:val="0"/>
          <w:color w:val="000000" w:themeColor="text1"/>
          <w:sz w:val="28"/>
          <w:szCs w:val="28"/>
          <w14:textFill>
            <w14:solidFill>
              <w14:schemeClr w14:val="tx1"/>
            </w14:solidFill>
          </w14:textFill>
        </w:rPr>
      </w:pPr>
      <w:bookmarkStart w:id="277" w:name="_Toc129785117"/>
      <w:r>
        <w:rPr>
          <w:rFonts w:ascii="Times New Roman" w:hAnsi="Times New Roman" w:eastAsia="黑体" w:cs="Times New Roman"/>
          <w:color w:val="000000" w:themeColor="text1"/>
          <w:sz w:val="28"/>
          <w:szCs w:val="28"/>
          <w14:textFill>
            <w14:solidFill>
              <w14:schemeClr w14:val="tx1"/>
            </w14:solidFill>
          </w14:textFill>
        </w:rPr>
        <w:t>（五）组织参加“稳租金、安心住”公开承诺活动</w:t>
      </w:r>
      <w:bookmarkEnd w:id="277"/>
    </w:p>
    <w:p>
      <w:pPr>
        <w:spacing w:line="360" w:lineRule="auto"/>
        <w:ind w:firstLine="480" w:firstLineChars="200"/>
        <w:rPr>
          <w:rFonts w:ascii="Times New Roman" w:hAnsi="Times New Roman"/>
          <w:color w:val="000000" w:themeColor="text1"/>
          <w:sz w:val="24"/>
          <w:szCs w:val="28"/>
          <w14:textFill>
            <w14:solidFill>
              <w14:schemeClr w14:val="tx1"/>
            </w14:solidFill>
          </w14:textFill>
        </w:rPr>
      </w:pPr>
      <w:r>
        <w:rPr>
          <w:rFonts w:ascii="Times New Roman" w:hAnsi="Times New Roman"/>
          <w:color w:val="000000" w:themeColor="text1"/>
          <w:sz w:val="24"/>
          <w:szCs w:val="28"/>
          <w14:textFill>
            <w14:solidFill>
              <w14:schemeClr w14:val="tx1"/>
            </w14:solidFill>
          </w14:textFill>
        </w:rPr>
        <w:t>为深刻领会、积极贯彻落实党的二十大精神，提高租房居住品质，创造美好租住生活，引领行业规范健康发展，中国房地产估价师与房地产经纪人学会联合地方协会、租赁企业和经纪机构于2022年12月30日下午在线上召开了“让租住生活更好”研讨会暨“稳租金、安心住”公开承诺活动。市中介协会16家会员单位在内的105家代表性住房租赁企业、房地产经纪机构和有关平台积极响应并作出合理定价、不乱涨价、明码标价、不吃差价、不扣押金、遵守政策、净化环境、开展帮扶等8项承诺，彰显了新时代企业的责任担当。</w:t>
      </w:r>
    </w:p>
    <w:p>
      <w:pPr>
        <w:pStyle w:val="26"/>
        <w:ind w:firstLine="0"/>
        <w:jc w:val="center"/>
        <w:rPr>
          <w:rFonts w:hint="default"/>
        </w:rPr>
      </w:pPr>
      <w:r>
        <w:rPr>
          <w:rFonts w:hint="default"/>
        </w:rPr>
        <w:t>表1</w:t>
      </w:r>
      <w:r>
        <w:t>5</w:t>
      </w:r>
      <w:r>
        <w:rPr>
          <w:rFonts w:hint="default"/>
        </w:rPr>
        <w:t xml:space="preserve">  加入“稳租金、安心住”公开承诺活动的市中介协会会员单位名单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5089"/>
        <w:gridCol w:w="2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spacing w:line="276" w:lineRule="auto"/>
              <w:ind w:firstLine="0"/>
              <w:jc w:val="center"/>
              <w:rPr>
                <w:rFonts w:hint="default" w:eastAsia="黑体"/>
                <w:b/>
                <w:sz w:val="22"/>
              </w:rPr>
            </w:pPr>
            <w:r>
              <w:rPr>
                <w:rFonts w:hint="default" w:eastAsia="黑体"/>
                <w:b/>
                <w:sz w:val="22"/>
              </w:rPr>
              <w:t>序号</w:t>
            </w:r>
          </w:p>
        </w:tc>
        <w:tc>
          <w:tcPr>
            <w:tcW w:w="5089" w:type="dxa"/>
            <w:vAlign w:val="center"/>
          </w:tcPr>
          <w:p>
            <w:pPr>
              <w:pStyle w:val="26"/>
              <w:spacing w:line="276" w:lineRule="auto"/>
              <w:ind w:firstLine="0"/>
              <w:jc w:val="center"/>
              <w:rPr>
                <w:rFonts w:hint="default" w:eastAsia="黑体"/>
                <w:b/>
                <w:sz w:val="22"/>
              </w:rPr>
            </w:pPr>
            <w:r>
              <w:rPr>
                <w:rFonts w:hint="default" w:eastAsia="黑体"/>
                <w:b/>
                <w:sz w:val="22"/>
              </w:rPr>
              <w:t>机构名称</w:t>
            </w:r>
          </w:p>
        </w:tc>
        <w:tc>
          <w:tcPr>
            <w:tcW w:w="2282" w:type="dxa"/>
            <w:vAlign w:val="center"/>
          </w:tcPr>
          <w:p>
            <w:pPr>
              <w:pStyle w:val="26"/>
              <w:spacing w:line="276" w:lineRule="auto"/>
              <w:ind w:firstLine="0"/>
              <w:jc w:val="center"/>
              <w:rPr>
                <w:rFonts w:hint="default" w:eastAsia="黑体"/>
                <w:b/>
                <w:sz w:val="22"/>
              </w:rPr>
            </w:pPr>
            <w:r>
              <w:rPr>
                <w:rFonts w:hint="default" w:eastAsia="黑体"/>
                <w:b/>
                <w:sz w:val="22"/>
              </w:rPr>
              <w:t>会员职务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广东合富房地产置业有限公司</w:t>
            </w:r>
          </w:p>
        </w:tc>
        <w:tc>
          <w:tcPr>
            <w:tcW w:w="2282" w:type="dxa"/>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副会长单位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广东链家房地产经纪有限公司</w:t>
            </w:r>
          </w:p>
        </w:tc>
        <w:tc>
          <w:tcPr>
            <w:tcW w:w="2282" w:type="dxa"/>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副会长单位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广东中原地产代理有限公司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副会长单位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广州裕丰咨询顾问有限公司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副会长单位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广州市乐有家房产经纪有限公司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理事单位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广州市置家房地产代理有限公司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理事单位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广东德诚行地产集团有限公司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理事单位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广州市朴邻房产经纪有限公司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理事单位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广州云房数据服务有限公司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理事单位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广州市共和房地产代理有限公司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理事单位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广州贝壳科技服务有限公司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普通会员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广州德佑科技服务有限公司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普通会员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广州市添房置业有限公司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普通会员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房六六置业(广州)有限公司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普通会员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广州优居房地产经纪有限公司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普通会员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pStyle w:val="26"/>
              <w:numPr>
                <w:ilvl w:val="0"/>
                <w:numId w:val="6"/>
              </w:numPr>
              <w:spacing w:line="276" w:lineRule="auto"/>
              <w:jc w:val="center"/>
              <w:rPr>
                <w:rFonts w:hint="default" w:eastAsia="仿宋"/>
                <w:szCs w:val="24"/>
              </w:rPr>
            </w:pPr>
          </w:p>
        </w:tc>
        <w:tc>
          <w:tcPr>
            <w:tcW w:w="5089"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广州看房网数据服务有限公司</w:t>
            </w:r>
          </w:p>
        </w:tc>
        <w:tc>
          <w:tcPr>
            <w:tcW w:w="2282" w:type="dxa"/>
            <w:vAlign w:val="center"/>
          </w:tcPr>
          <w:p>
            <w:pPr>
              <w:spacing w:line="276" w:lineRule="auto"/>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普通会员</w:t>
            </w:r>
          </w:p>
        </w:tc>
      </w:tr>
    </w:tbl>
    <w:p>
      <w:pPr>
        <w:pStyle w:val="26"/>
        <w:spacing w:line="360" w:lineRule="auto"/>
        <w:jc w:val="right"/>
        <w:rPr>
          <w:rFonts w:hint="default" w:eastAsiaTheme="minorEastAsia"/>
          <w:color w:val="000000" w:themeColor="text1"/>
          <w:sz w:val="22"/>
          <w:szCs w:val="28"/>
          <w14:textFill>
            <w14:solidFill>
              <w14:schemeClr w14:val="tx1"/>
            </w14:solidFill>
          </w14:textFill>
        </w:rPr>
      </w:pPr>
      <w:r>
        <w:rPr>
          <w:rFonts w:eastAsiaTheme="minorEastAsia"/>
          <w:color w:val="000000" w:themeColor="text1"/>
          <w:sz w:val="22"/>
          <w:szCs w:val="28"/>
          <w14:textFill>
            <w14:solidFill>
              <w14:schemeClr w14:val="tx1"/>
            </w14:solidFill>
          </w14:textFill>
        </w:rPr>
        <w:t>数据来源：广州市房地产中介协会</w:t>
      </w:r>
    </w:p>
    <w:p>
      <w:pPr>
        <w:widowControl/>
        <w:jc w:val="left"/>
        <w:rPr>
          <w:rFonts w:ascii="Times New Roman" w:hAnsi="Times New Roman" w:eastAsiaTheme="minorEastAsia"/>
          <w:color w:val="000000" w:themeColor="text1"/>
          <w:sz w:val="22"/>
          <w:szCs w:val="28"/>
          <w14:textFill>
            <w14:solidFill>
              <w14:schemeClr w14:val="tx1"/>
            </w14:solidFill>
          </w14:textFill>
        </w:rPr>
      </w:pPr>
      <w:r>
        <w:rPr>
          <w:rFonts w:eastAsiaTheme="minorEastAsia"/>
          <w:color w:val="000000" w:themeColor="text1"/>
          <w:sz w:val="22"/>
          <w:szCs w:val="28"/>
          <w14:textFill>
            <w14:solidFill>
              <w14:schemeClr w14:val="tx1"/>
            </w14:solidFill>
          </w14:textFill>
        </w:rPr>
        <w:br w:type="page"/>
      </w:r>
    </w:p>
    <w:p>
      <w:pPr>
        <w:pStyle w:val="2"/>
        <w:spacing w:before="120" w:beforeLines="50" w:after="120" w:afterLines="50" w:line="360" w:lineRule="auto"/>
        <w:rPr>
          <w:rFonts w:ascii="Times New Roman" w:hAnsi="Times New Roman" w:eastAsia="黑体"/>
          <w:bCs w:val="0"/>
          <w:color w:val="000000" w:themeColor="text1"/>
          <w:sz w:val="32"/>
          <w:szCs w:val="24"/>
          <w14:textFill>
            <w14:solidFill>
              <w14:schemeClr w14:val="tx1"/>
            </w14:solidFill>
          </w14:textFill>
        </w:rPr>
      </w:pPr>
      <w:bookmarkStart w:id="278" w:name="_Toc6389801"/>
      <w:bookmarkStart w:id="279" w:name="_Toc129785118"/>
      <w:bookmarkStart w:id="280" w:name="_Toc98168333"/>
      <w:r>
        <w:rPr>
          <w:rFonts w:ascii="Times New Roman" w:hAnsi="Times New Roman" w:eastAsia="黑体"/>
          <w:bCs w:val="0"/>
          <w:color w:val="000000" w:themeColor="text1"/>
          <w:sz w:val="32"/>
          <w:szCs w:val="24"/>
          <w14:textFill>
            <w14:solidFill>
              <w14:schemeClr w14:val="tx1"/>
            </w14:solidFill>
          </w14:textFill>
        </w:rPr>
        <w:t>九、下一步工作规划</w:t>
      </w:r>
      <w:bookmarkEnd w:id="278"/>
      <w:bookmarkEnd w:id="279"/>
      <w:bookmarkEnd w:id="280"/>
    </w:p>
    <w:p>
      <w:pPr>
        <w:spacing w:line="360" w:lineRule="auto"/>
        <w:ind w:firstLine="480" w:firstLineChars="200"/>
        <w:jc w:val="left"/>
        <w:rPr>
          <w:rFonts w:ascii="Times New Roman" w:hAnsi="Times New Roman"/>
          <w:sz w:val="24"/>
          <w:szCs w:val="28"/>
        </w:rPr>
      </w:pPr>
      <w:r>
        <w:rPr>
          <w:rFonts w:ascii="Times New Roman" w:hAnsi="Times New Roman"/>
          <w:sz w:val="24"/>
          <w:szCs w:val="28"/>
        </w:rPr>
        <w:t>经过近5年时间的持续宣传和推广，越来越多的消费者在选择中介提供服务之前会查阅中介信用档案，一大批银行等金融机构在选择中介机构合作开展业务前也会查询中介信用档案，这些都使得更多的中介机构和从业人员愈加重视自身信用的保持与维护，中介机构更注重企业规范经营，从业人员更注重诚信自律，较好地维护了我市房地产交易市场秩序的整体健康。</w:t>
      </w:r>
    </w:p>
    <w:p>
      <w:pPr>
        <w:spacing w:line="360" w:lineRule="auto"/>
        <w:ind w:firstLine="480" w:firstLineChars="200"/>
        <w:jc w:val="left"/>
        <w:rPr>
          <w:rFonts w:ascii="Times New Roman" w:hAnsi="Times New Roman"/>
          <w:sz w:val="24"/>
          <w:szCs w:val="28"/>
        </w:rPr>
      </w:pPr>
      <w:r>
        <w:rPr>
          <w:rFonts w:ascii="Times New Roman" w:hAnsi="Times New Roman"/>
          <w:sz w:val="24"/>
          <w:szCs w:val="28"/>
        </w:rPr>
        <w:t>下一步</w:t>
      </w:r>
      <w:r>
        <w:rPr>
          <w:rFonts w:hint="eastAsia" w:ascii="Times New Roman" w:hAnsi="Times New Roman"/>
          <w:sz w:val="24"/>
          <w:szCs w:val="28"/>
        </w:rPr>
        <w:t>，</w:t>
      </w:r>
      <w:r>
        <w:rPr>
          <w:rFonts w:ascii="Times New Roman" w:hAnsi="Times New Roman"/>
          <w:sz w:val="24"/>
          <w:szCs w:val="28"/>
        </w:rPr>
        <w:t>市住建局将</w:t>
      </w:r>
      <w:r>
        <w:rPr>
          <w:rFonts w:hint="eastAsia" w:ascii="Times New Roman" w:hAnsi="Times New Roman"/>
          <w:sz w:val="24"/>
          <w:szCs w:val="28"/>
        </w:rPr>
        <w:t>继续</w:t>
      </w:r>
      <w:r>
        <w:rPr>
          <w:rFonts w:ascii="Times New Roman" w:hAnsi="Times New Roman"/>
          <w:sz w:val="24"/>
          <w:szCs w:val="28"/>
        </w:rPr>
        <w:t>完善房地产中介行业信用评价体系。</w:t>
      </w:r>
      <w:r>
        <w:rPr>
          <w:rFonts w:hint="eastAsia" w:ascii="Times New Roman" w:hAnsi="Times New Roman"/>
          <w:sz w:val="24"/>
          <w:szCs w:val="28"/>
        </w:rPr>
        <w:t>包括</w:t>
      </w:r>
      <w:r>
        <w:rPr>
          <w:rFonts w:ascii="Times New Roman" w:hAnsi="Times New Roman"/>
          <w:sz w:val="24"/>
          <w:szCs w:val="28"/>
        </w:rPr>
        <w:t>在存量房交易中构建系统、科学的消费者评价指标体系，以帮助消费者在房地产交易中更加方便、快捷地找到可以信赖的中介门店和从业人员提供服务。未来</w:t>
      </w:r>
      <w:r>
        <w:rPr>
          <w:rFonts w:hint="eastAsia" w:ascii="Times New Roman" w:hAnsi="Times New Roman"/>
          <w:sz w:val="24"/>
          <w:szCs w:val="28"/>
        </w:rPr>
        <w:t>还</w:t>
      </w:r>
      <w:r>
        <w:rPr>
          <w:rFonts w:ascii="Times New Roman" w:hAnsi="Times New Roman"/>
          <w:sz w:val="24"/>
          <w:szCs w:val="28"/>
        </w:rPr>
        <w:t>将针对中介机构、从业人员等交易主体建立系统、全面的消费者评价指标，明确评估对象、评估主体、评估程序方法及等级管理等事项，以树立行业标杆，增强从业人员的职业荣誉感与尊严感，形成正向循环。</w:t>
      </w:r>
    </w:p>
    <w:p>
      <w:pPr>
        <w:spacing w:line="360" w:lineRule="auto"/>
        <w:ind w:firstLine="480" w:firstLineChars="200"/>
        <w:jc w:val="left"/>
        <w:rPr>
          <w:rFonts w:ascii="Times New Roman" w:hAnsi="Times New Roman"/>
          <w:sz w:val="24"/>
          <w:szCs w:val="28"/>
        </w:rPr>
      </w:pPr>
      <w:r>
        <w:rPr>
          <w:rFonts w:ascii="Times New Roman" w:hAnsi="Times New Roman"/>
          <w:sz w:val="24"/>
          <w:szCs w:val="28"/>
        </w:rPr>
        <w:t>市交监中心和市中介协会将加强《</w:t>
      </w:r>
      <w:r>
        <w:rPr>
          <w:rFonts w:hint="eastAsia" w:ascii="Times New Roman" w:hAnsi="Times New Roman"/>
          <w:sz w:val="24"/>
          <w:szCs w:val="28"/>
        </w:rPr>
        <w:t>房地产中介</w:t>
      </w:r>
      <w:r>
        <w:rPr>
          <w:rFonts w:ascii="Times New Roman" w:hAnsi="Times New Roman"/>
          <w:sz w:val="24"/>
          <w:szCs w:val="28"/>
        </w:rPr>
        <w:t>服务规范》的宣传推广。主要措施包括：一是加强行业普及，举办《服务规范》专题培训班，让更多的中介机构和从业人员了解并遵守《服务规范》。二是开展《服务规范》承诺活动，引导更多的中介机构加入承诺队伍，共同实践《服务规范》，提升行业整体服务水准。三是多渠道加强社会宣传，引导消费者在购买二手房时优先选择已承诺遵守《服务规范》的中介机构。</w:t>
      </w:r>
    </w:p>
    <w:p>
      <w:pPr>
        <w:pStyle w:val="26"/>
        <w:spacing w:line="360" w:lineRule="auto"/>
        <w:rPr>
          <w:rFonts w:hint="default"/>
          <w:color w:val="000000" w:themeColor="text1"/>
          <w14:textFill>
            <w14:solidFill>
              <w14:schemeClr w14:val="tx1"/>
            </w14:solidFill>
          </w14:textFill>
        </w:rPr>
      </w:pPr>
      <w:r>
        <w:rPr>
          <w:color w:val="000000" w:themeColor="text1"/>
          <w14:textFill>
            <w14:solidFill>
              <w14:schemeClr w14:val="tx1"/>
            </w14:solidFill>
          </w14:textFill>
        </w:rPr>
        <w:t>在全行业将着力推动《广州市存量房认购协议》（下称：《认购协议》）落地实施。2022年11月份，广州市住房和城乡建设局与市场监督管理局已联合发布《认购协议》示范文本，该《认购协议》旨在进一步规范存量房交易流程，保障交易当事人合法权益，通过交易流程多节点控制，确保重要环节公平合理，避免交易过程中的矛盾纠纷，有效降低买卖双方交易风险。市住建局下一步将加大宣传推广，将公示和使用示范合同作为市场检查的重要内容，全面推动《广州市存量房认购协议》落地实施和市场普及，让存量房交易更加公正透明，促进市场平稳、高质量发展。</w:t>
      </w:r>
    </w:p>
    <w:p>
      <w:pPr>
        <w:pStyle w:val="2"/>
        <w:keepNext w:val="0"/>
        <w:pageBreakBefore/>
        <w:spacing w:before="120" w:beforeLines="50" w:after="120" w:afterLines="50" w:line="360" w:lineRule="auto"/>
        <w:rPr>
          <w:rFonts w:ascii="Times New Roman" w:hAnsi="Times New Roman" w:eastAsia="黑体"/>
          <w:bCs w:val="0"/>
          <w:color w:val="000000" w:themeColor="text1"/>
          <w:sz w:val="24"/>
          <w:szCs w:val="24"/>
          <w14:textFill>
            <w14:solidFill>
              <w14:schemeClr w14:val="tx1"/>
            </w14:solidFill>
          </w14:textFill>
        </w:rPr>
      </w:pPr>
      <w:bookmarkStart w:id="281" w:name="_Toc129785119"/>
      <w:bookmarkStart w:id="282" w:name="_Toc98168334"/>
      <w:bookmarkStart w:id="283" w:name="_Toc64643535"/>
      <w:r>
        <w:rPr>
          <w:rFonts w:ascii="Times New Roman" w:hAnsi="Times New Roman" w:eastAsia="黑体"/>
          <w:bCs w:val="0"/>
          <w:color w:val="000000" w:themeColor="text1"/>
          <w:sz w:val="32"/>
          <w:szCs w:val="24"/>
          <w14:textFill>
            <w14:solidFill>
              <w14:schemeClr w14:val="tx1"/>
            </w14:solidFill>
          </w14:textFill>
        </w:rPr>
        <w:t>附件</w:t>
      </w:r>
      <w:bookmarkEnd w:id="281"/>
      <w:bookmarkEnd w:id="282"/>
      <w:bookmarkEnd w:id="283"/>
    </w:p>
    <w:p>
      <w:pPr>
        <w:pStyle w:val="3"/>
        <w:spacing w:before="120" w:beforeLines="50" w:after="120" w:afterLines="50" w:line="360" w:lineRule="auto"/>
        <w:jc w:val="center"/>
        <w:rPr>
          <w:rFonts w:ascii="Times New Roman" w:hAnsi="Times New Roman" w:eastAsia="黑体" w:cs="Times New Roman"/>
          <w:color w:val="000000" w:themeColor="text1"/>
          <w14:textFill>
            <w14:solidFill>
              <w14:schemeClr w14:val="tx1"/>
            </w14:solidFill>
          </w14:textFill>
        </w:rPr>
      </w:pPr>
      <w:bookmarkStart w:id="284" w:name="_Toc98168335"/>
      <w:bookmarkStart w:id="285" w:name="_Toc129785120"/>
      <w:bookmarkStart w:id="286" w:name="_Toc64643536"/>
      <w:r>
        <w:rPr>
          <w:rFonts w:ascii="Times New Roman" w:hAnsi="Times New Roman" w:eastAsia="黑体" w:cs="Times New Roman"/>
          <w:color w:val="000000" w:themeColor="text1"/>
          <w14:textFill>
            <w14:solidFill>
              <w14:schemeClr w14:val="tx1"/>
            </w14:solidFill>
          </w14:textFill>
        </w:rPr>
        <w:t>1.信用档案及评分评级体系简介</w:t>
      </w:r>
      <w:bookmarkEnd w:id="284"/>
      <w:bookmarkEnd w:id="285"/>
    </w:p>
    <w:p>
      <w:pPr>
        <w:spacing w:before="240" w:beforeLines="100" w:after="240" w:afterLines="100"/>
        <w:rPr>
          <w:rFonts w:ascii="Times New Roman" w:hAnsi="Times New Roman" w:eastAsia="黑体"/>
          <w:b/>
          <w:sz w:val="28"/>
        </w:rPr>
      </w:pPr>
      <w:r>
        <w:rPr>
          <w:rFonts w:ascii="Times New Roman" w:hAnsi="Times New Roman" w:eastAsia="黑体"/>
          <w:b/>
          <w:sz w:val="28"/>
        </w:rPr>
        <w:t>（一）信用档案简介</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按照</w:t>
      </w:r>
      <w:r>
        <w:rPr>
          <w:rFonts w:ascii="Times New Roman" w:hAnsi="Times New Roman" w:eastAsia="仿宋"/>
          <w:color w:val="000000" w:themeColor="text1"/>
          <w:kern w:val="0"/>
          <w:sz w:val="24"/>
          <w:szCs w:val="24"/>
          <w:lang w:val="zh-TW" w:eastAsia="zh-TW"/>
          <w14:textFill>
            <w14:solidFill>
              <w14:schemeClr w14:val="tx1"/>
            </w14:solidFill>
          </w14:textFill>
        </w:rPr>
        <w:t>《广州市房地产中介信用管理暂行规定》</w:t>
      </w:r>
      <w:r>
        <w:rPr>
          <w:rFonts w:ascii="Times New Roman" w:hAnsi="Times New Roman" w:eastAsia="仿宋"/>
          <w:color w:val="000000" w:themeColor="text1"/>
          <w:kern w:val="0"/>
          <w:sz w:val="24"/>
          <w:szCs w:val="24"/>
          <w:lang w:val="zh-TW"/>
          <w14:textFill>
            <w14:solidFill>
              <w14:schemeClr w14:val="tx1"/>
            </w14:solidFill>
          </w14:textFill>
        </w:rPr>
        <w:t>，</w:t>
      </w:r>
      <w:r>
        <w:rPr>
          <w:rFonts w:ascii="Times New Roman" w:hAnsi="Times New Roman" w:eastAsia="仿宋"/>
          <w:color w:val="000000" w:themeColor="text1"/>
          <w:sz w:val="24"/>
          <w14:textFill>
            <w14:solidFill>
              <w14:schemeClr w14:val="tx1"/>
            </w14:solidFill>
          </w14:textFill>
        </w:rPr>
        <w:t>信用档案是指</w:t>
      </w:r>
      <w:r>
        <w:rPr>
          <w:rFonts w:ascii="Times New Roman" w:hAnsi="Times New Roman" w:eastAsia="仿宋"/>
          <w:color w:val="000000" w:themeColor="text1"/>
          <w:sz w:val="24"/>
          <w:szCs w:val="24"/>
          <w:shd w:val="clear" w:color="auto" w:fill="FFFFFF"/>
          <w14:textFill>
            <w14:solidFill>
              <w14:schemeClr w14:val="tx1"/>
            </w14:solidFill>
          </w14:textFill>
        </w:rPr>
        <w:t>市住房和城乡建设主管部门</w:t>
      </w:r>
      <w:r>
        <w:rPr>
          <w:rFonts w:ascii="Times New Roman" w:hAnsi="Times New Roman" w:eastAsia="仿宋"/>
          <w:color w:val="000000" w:themeColor="text1"/>
          <w:sz w:val="24"/>
          <w14:textFill>
            <w14:solidFill>
              <w14:schemeClr w14:val="tx1"/>
            </w14:solidFill>
          </w14:textFill>
        </w:rPr>
        <w:t>根据房地产中介机构及其从业人员的基本情况、经营、服务行为，以及相关行政管理部门监管情况、社会监督等信息形成的机构和人员信用档案。</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信用档案分为中介机构信用档案和从业人员信用档案，档案主要包括：基本情况信息、经营信息以及监管信息等三大类信息。</w:t>
      </w:r>
    </w:p>
    <w:p>
      <w:pPr>
        <w:spacing w:line="360" w:lineRule="auto"/>
        <w:ind w:firstLine="481" w:firstLineChars="200"/>
        <w:rPr>
          <w:rFonts w:ascii="Times New Roman" w:hAnsi="Times New Roman" w:eastAsia="仿宋"/>
          <w:b/>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1、基本情况信息包括：</w:t>
      </w:r>
    </w:p>
    <w:p>
      <w:pPr>
        <w:pStyle w:val="32"/>
        <w:numPr>
          <w:ilvl w:val="0"/>
          <w:numId w:val="7"/>
        </w:numPr>
        <w:spacing w:line="360" w:lineRule="auto"/>
        <w:ind w:firstLineChars="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房地产中介机构：机构名称、组织机构代码、社会信用代码、信用信息卡号、备案时间、经营地址、法定代表人姓名及联系方式、投诉渠道、从业经历、中介服务内容、服务承诺等。</w:t>
      </w:r>
    </w:p>
    <w:p>
      <w:pPr>
        <w:pStyle w:val="32"/>
        <w:numPr>
          <w:ilvl w:val="0"/>
          <w:numId w:val="7"/>
        </w:numPr>
        <w:spacing w:line="360" w:lineRule="auto"/>
        <w:ind w:firstLineChars="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房地产中介从业人员：人员姓名、身份信息、性别、学历、社会信用代码、信用信息卡号、备案时间、水平评价情况、联系电话、所在中介机构名称、从业经历、工作职责等。</w:t>
      </w:r>
    </w:p>
    <w:p>
      <w:pPr>
        <w:spacing w:line="360" w:lineRule="auto"/>
        <w:ind w:firstLine="481" w:firstLineChars="200"/>
        <w:rPr>
          <w:rFonts w:ascii="Times New Roman" w:hAnsi="Times New Roman" w:eastAsia="仿宋"/>
          <w:b/>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2、经营信息包括：</w:t>
      </w:r>
    </w:p>
    <w:p>
      <w:pPr>
        <w:pStyle w:val="32"/>
        <w:numPr>
          <w:ilvl w:val="0"/>
          <w:numId w:val="7"/>
        </w:numPr>
        <w:spacing w:line="360" w:lineRule="auto"/>
        <w:ind w:firstLineChars="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发布房源、促成买卖或租赁成交、代办手续、市场研究或策划、网签买卖合同、报送租赁信息、接受委托出具估价报告等。</w:t>
      </w:r>
    </w:p>
    <w:p>
      <w:pPr>
        <w:spacing w:line="360" w:lineRule="auto"/>
        <w:ind w:firstLine="481" w:firstLineChars="200"/>
        <w:rPr>
          <w:rFonts w:ascii="Times New Roman" w:hAnsi="Times New Roman" w:eastAsia="仿宋"/>
          <w:b/>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 xml:space="preserve">3、监管信息包括： </w:t>
      </w:r>
    </w:p>
    <w:p>
      <w:pPr>
        <w:pStyle w:val="32"/>
        <w:numPr>
          <w:ilvl w:val="0"/>
          <w:numId w:val="7"/>
        </w:numPr>
        <w:spacing w:line="360" w:lineRule="auto"/>
        <w:ind w:firstLineChars="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 xml:space="preserve">市、区住房和城乡建设管理部门在日常巡查、专项检查、重点检查中发现的中介机构及其从业人员的违法违规行为； </w:t>
      </w:r>
    </w:p>
    <w:p>
      <w:pPr>
        <w:pStyle w:val="32"/>
        <w:numPr>
          <w:ilvl w:val="0"/>
          <w:numId w:val="7"/>
        </w:numPr>
        <w:spacing w:line="360" w:lineRule="auto"/>
        <w:ind w:firstLineChars="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其他行政管理部门在履行职责过程中发现的中介机构及其从业人员违法违规行为；</w:t>
      </w:r>
    </w:p>
    <w:p>
      <w:pPr>
        <w:pStyle w:val="32"/>
        <w:numPr>
          <w:ilvl w:val="0"/>
          <w:numId w:val="7"/>
        </w:numPr>
        <w:spacing w:line="360" w:lineRule="auto"/>
        <w:ind w:firstLineChars="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个人以及社会组织、新闻媒体等单位投诉举报中介机构及其从业人员的违法违规行为。</w:t>
      </w:r>
    </w:p>
    <w:p>
      <w:pPr>
        <w:spacing w:line="360" w:lineRule="auto"/>
        <w:ind w:firstLine="480" w:firstLineChars="200"/>
        <w:jc w:val="left"/>
        <w:rPr>
          <w:rFonts w:ascii="Times New Roman" w:hAnsi="Times New Roman"/>
          <w:color w:val="000000" w:themeColor="text1"/>
          <w:sz w:val="24"/>
          <w14:textFill>
            <w14:solidFill>
              <w14:schemeClr w14:val="tx1"/>
            </w14:solidFill>
          </w14:textFill>
        </w:rPr>
      </w:pPr>
    </w:p>
    <w:p>
      <w:pPr>
        <w:pStyle w:val="26"/>
        <w:rPr>
          <w:rFonts w:hint="default"/>
        </w:rPr>
      </w:pPr>
    </w:p>
    <w:p>
      <w:pPr>
        <w:pStyle w:val="26"/>
        <w:rPr>
          <w:rFonts w:hint="default"/>
        </w:rPr>
      </w:pPr>
    </w:p>
    <w:p>
      <w:pPr>
        <w:spacing w:before="240" w:beforeLines="100" w:after="240" w:afterLines="100"/>
        <w:rPr>
          <w:rFonts w:ascii="Times New Roman" w:hAnsi="Times New Roman" w:eastAsia="黑体"/>
          <w:b/>
          <w:sz w:val="28"/>
        </w:rPr>
      </w:pPr>
      <w:r>
        <w:rPr>
          <w:rFonts w:ascii="Times New Roman" w:hAnsi="Times New Roman" w:eastAsia="黑体"/>
          <w:b/>
          <w:sz w:val="28"/>
        </w:rPr>
        <w:t>（二）信用评分评级简介</w:t>
      </w:r>
    </w:p>
    <w:p>
      <w:pPr>
        <w:spacing w:line="360" w:lineRule="auto"/>
        <w:ind w:firstLine="481"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信用等级：</w:t>
      </w:r>
      <w:r>
        <w:rPr>
          <w:rFonts w:ascii="Times New Roman" w:hAnsi="Times New Roman" w:eastAsia="仿宋"/>
          <w:color w:val="000000" w:themeColor="text1"/>
          <w:sz w:val="24"/>
          <w14:textFill>
            <w14:solidFill>
              <w14:schemeClr w14:val="tx1"/>
            </w14:solidFill>
          </w14:textFill>
        </w:rPr>
        <w:t>为方便消费者对房地产中介机构和从业人员的信用有更直观的了解，市中介协会按照</w:t>
      </w:r>
      <w:r>
        <w:rPr>
          <w:rFonts w:ascii="Times New Roman" w:hAnsi="Times New Roman" w:eastAsia="仿宋"/>
          <w:color w:val="000000" w:themeColor="text1"/>
          <w:kern w:val="0"/>
          <w:sz w:val="24"/>
          <w:szCs w:val="24"/>
          <w14:textFill>
            <w14:solidFill>
              <w14:schemeClr w14:val="tx1"/>
            </w14:solidFill>
          </w14:textFill>
        </w:rPr>
        <w:t>《信用评分评级管理办法》</w:t>
      </w:r>
      <w:r>
        <w:rPr>
          <w:rFonts w:ascii="Times New Roman" w:hAnsi="Times New Roman" w:eastAsia="仿宋"/>
          <w:color w:val="000000" w:themeColor="text1"/>
          <w:sz w:val="24"/>
          <w14:textFill>
            <w14:solidFill>
              <w14:schemeClr w14:val="tx1"/>
            </w14:solidFill>
          </w14:textFill>
        </w:rPr>
        <w:t>将信用等级划分为“</w:t>
      </w:r>
      <w:r>
        <w:rPr>
          <w:rFonts w:ascii="Times New Roman" w:hAnsi="Times New Roman" w:eastAsia="仿宋"/>
          <w:b/>
          <w:color w:val="000000" w:themeColor="text1"/>
          <w:sz w:val="24"/>
          <w14:textFill>
            <w14:solidFill>
              <w14:schemeClr w14:val="tx1"/>
            </w14:solidFill>
          </w14:textFill>
        </w:rPr>
        <w:t>优质</w:t>
      </w:r>
      <w:r>
        <w:rPr>
          <w:rFonts w:ascii="Times New Roman" w:hAnsi="Times New Roman" w:eastAsia="仿宋"/>
          <w:color w:val="000000" w:themeColor="text1"/>
          <w:sz w:val="24"/>
          <w14:textFill>
            <w14:solidFill>
              <w14:schemeClr w14:val="tx1"/>
            </w14:solidFill>
          </w14:textFill>
        </w:rPr>
        <w:t>”、“</w:t>
      </w:r>
      <w:r>
        <w:rPr>
          <w:rFonts w:ascii="Times New Roman" w:hAnsi="Times New Roman" w:eastAsia="仿宋"/>
          <w:b/>
          <w:color w:val="000000" w:themeColor="text1"/>
          <w:sz w:val="24"/>
          <w14:textFill>
            <w14:solidFill>
              <w14:schemeClr w14:val="tx1"/>
            </w14:solidFill>
          </w14:textFill>
        </w:rPr>
        <w:t>良好</w:t>
      </w:r>
      <w:r>
        <w:rPr>
          <w:rFonts w:ascii="Times New Roman" w:hAnsi="Times New Roman" w:eastAsia="仿宋"/>
          <w:color w:val="000000" w:themeColor="text1"/>
          <w:sz w:val="24"/>
          <w14:textFill>
            <w14:solidFill>
              <w14:schemeClr w14:val="tx1"/>
            </w14:solidFill>
          </w14:textFill>
        </w:rPr>
        <w:t>”、“</w:t>
      </w:r>
      <w:r>
        <w:rPr>
          <w:rFonts w:ascii="Times New Roman" w:hAnsi="Times New Roman" w:eastAsia="仿宋"/>
          <w:b/>
          <w:color w:val="000000" w:themeColor="text1"/>
          <w:sz w:val="24"/>
          <w14:textFill>
            <w14:solidFill>
              <w14:schemeClr w14:val="tx1"/>
            </w14:solidFill>
          </w14:textFill>
        </w:rPr>
        <w:t>诚信</w:t>
      </w:r>
      <w:r>
        <w:rPr>
          <w:rFonts w:ascii="Times New Roman" w:hAnsi="Times New Roman" w:eastAsia="仿宋"/>
          <w:color w:val="000000" w:themeColor="text1"/>
          <w:sz w:val="24"/>
          <w14:textFill>
            <w14:solidFill>
              <w14:schemeClr w14:val="tx1"/>
            </w14:solidFill>
          </w14:textFill>
        </w:rPr>
        <w:t>”、“</w:t>
      </w:r>
      <w:r>
        <w:rPr>
          <w:rFonts w:ascii="Times New Roman" w:hAnsi="Times New Roman" w:eastAsia="仿宋"/>
          <w:b/>
          <w:color w:val="000000" w:themeColor="text1"/>
          <w:sz w:val="24"/>
          <w14:textFill>
            <w14:solidFill>
              <w14:schemeClr w14:val="tx1"/>
            </w14:solidFill>
          </w14:textFill>
        </w:rPr>
        <w:t>暂定诚信</w:t>
      </w:r>
      <w:r>
        <w:rPr>
          <w:rFonts w:ascii="Times New Roman" w:hAnsi="Times New Roman" w:eastAsia="仿宋"/>
          <w:color w:val="000000" w:themeColor="text1"/>
          <w:sz w:val="24"/>
          <w14:textFill>
            <w14:solidFill>
              <w14:schemeClr w14:val="tx1"/>
            </w14:solidFill>
          </w14:textFill>
        </w:rPr>
        <w:t>”、“</w:t>
      </w:r>
      <w:r>
        <w:rPr>
          <w:rFonts w:ascii="Times New Roman" w:hAnsi="Times New Roman" w:eastAsia="仿宋"/>
          <w:b/>
          <w:color w:val="000000" w:themeColor="text1"/>
          <w:sz w:val="24"/>
          <w14:textFill>
            <w14:solidFill>
              <w14:schemeClr w14:val="tx1"/>
            </w14:solidFill>
          </w14:textFill>
        </w:rPr>
        <w:t>预警</w:t>
      </w:r>
      <w:r>
        <w:rPr>
          <w:rFonts w:ascii="Times New Roman" w:hAnsi="Times New Roman" w:eastAsia="仿宋"/>
          <w:color w:val="000000" w:themeColor="text1"/>
          <w:sz w:val="24"/>
          <w14:textFill>
            <w14:solidFill>
              <w14:schemeClr w14:val="tx1"/>
            </w14:solidFill>
          </w14:textFill>
        </w:rPr>
        <w:t>”、“</w:t>
      </w:r>
      <w:r>
        <w:rPr>
          <w:rFonts w:ascii="Times New Roman" w:hAnsi="Times New Roman" w:eastAsia="仿宋"/>
          <w:b/>
          <w:color w:val="000000" w:themeColor="text1"/>
          <w:sz w:val="24"/>
          <w14:textFill>
            <w14:solidFill>
              <w14:schemeClr w14:val="tx1"/>
            </w14:solidFill>
          </w14:textFill>
        </w:rPr>
        <w:t>失信</w:t>
      </w:r>
      <w:r>
        <w:rPr>
          <w:rFonts w:ascii="Times New Roman" w:hAnsi="Times New Roman" w:eastAsia="仿宋"/>
          <w:color w:val="000000" w:themeColor="text1"/>
          <w:sz w:val="24"/>
          <w14:textFill>
            <w14:solidFill>
              <w14:schemeClr w14:val="tx1"/>
            </w14:solidFill>
          </w14:textFill>
        </w:rPr>
        <w:t>”等六个级别。</w:t>
      </w:r>
    </w:p>
    <w:p>
      <w:pPr>
        <w:spacing w:line="360" w:lineRule="auto"/>
        <w:ind w:firstLine="420" w:firstLineChars="200"/>
        <w:jc w:val="center"/>
        <w:rPr>
          <w:rFonts w:ascii="Times New Roman" w:hAnsi="Times New Roman" w:eastAsia="仿宋"/>
          <w:color w:val="000000" w:themeColor="text1"/>
          <w:szCs w:val="21"/>
          <w14:textFill>
            <w14:solidFill>
              <w14:schemeClr w14:val="tx1"/>
            </w14:solidFill>
          </w14:textFill>
        </w:rPr>
      </w:pPr>
      <w:r>
        <w:rPr>
          <w:rFonts w:ascii="Times New Roman" w:hAnsi="Times New Roman" w:eastAsia="仿宋"/>
          <w:color w:val="000000" w:themeColor="text1"/>
          <w:szCs w:val="21"/>
          <w14:textFill>
            <w14:solidFill>
              <w14:schemeClr w14:val="tx1"/>
            </w14:solidFill>
          </w14:textFill>
        </w:rPr>
        <w:t>表1  信用等级与信用分值对应关系</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1218"/>
        <w:gridCol w:w="1218"/>
        <w:gridCol w:w="1218"/>
        <w:gridCol w:w="1218"/>
        <w:gridCol w:w="1219"/>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218" w:type="dxa"/>
            <w:vAlign w:val="center"/>
          </w:tcPr>
          <w:p>
            <w:pP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信用等级</w:t>
            </w:r>
          </w:p>
        </w:tc>
        <w:tc>
          <w:tcPr>
            <w:tcW w:w="1218" w:type="dxa"/>
            <w:vAlign w:val="center"/>
          </w:tcPr>
          <w:p>
            <w:pPr>
              <w:jc w:val="cente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优质</w:t>
            </w:r>
          </w:p>
        </w:tc>
        <w:tc>
          <w:tcPr>
            <w:tcW w:w="1218" w:type="dxa"/>
            <w:vAlign w:val="center"/>
          </w:tcPr>
          <w:p>
            <w:pPr>
              <w:jc w:val="cente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良好</w:t>
            </w:r>
          </w:p>
        </w:tc>
        <w:tc>
          <w:tcPr>
            <w:tcW w:w="1218" w:type="dxa"/>
            <w:vAlign w:val="center"/>
          </w:tcPr>
          <w:p>
            <w:pPr>
              <w:jc w:val="cente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诚信</w:t>
            </w:r>
          </w:p>
        </w:tc>
        <w:tc>
          <w:tcPr>
            <w:tcW w:w="1218" w:type="dxa"/>
            <w:vAlign w:val="center"/>
          </w:tcPr>
          <w:p>
            <w:pP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暂定诚信</w:t>
            </w:r>
          </w:p>
        </w:tc>
        <w:tc>
          <w:tcPr>
            <w:tcW w:w="1219" w:type="dxa"/>
            <w:vAlign w:val="center"/>
          </w:tcPr>
          <w:p>
            <w:pPr>
              <w:jc w:val="cente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预警</w:t>
            </w:r>
          </w:p>
        </w:tc>
        <w:tc>
          <w:tcPr>
            <w:tcW w:w="1219" w:type="dxa"/>
            <w:vAlign w:val="center"/>
          </w:tcPr>
          <w:p>
            <w:pPr>
              <w:jc w:val="cente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8" w:type="dxa"/>
            <w:vAlign w:val="center"/>
          </w:tcPr>
          <w:p>
            <w:pPr>
              <w:snapToGrid w:val="0"/>
              <w:rPr>
                <w:rFonts w:ascii="Times New Roman" w:hAnsi="Times New Roman" w:eastAsia="仿宋"/>
                <w:b/>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信用分值</w:t>
            </w:r>
          </w:p>
        </w:tc>
        <w:tc>
          <w:tcPr>
            <w:tcW w:w="1218" w:type="dxa"/>
            <w:vAlign w:val="center"/>
          </w:tcPr>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95分以上</w:t>
            </w:r>
          </w:p>
        </w:tc>
        <w:tc>
          <w:tcPr>
            <w:tcW w:w="1218" w:type="dxa"/>
            <w:vAlign w:val="center"/>
          </w:tcPr>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90分以上</w:t>
            </w:r>
          </w:p>
        </w:tc>
        <w:tc>
          <w:tcPr>
            <w:tcW w:w="1218" w:type="dxa"/>
            <w:vAlign w:val="center"/>
          </w:tcPr>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70分以上</w:t>
            </w:r>
          </w:p>
        </w:tc>
        <w:tc>
          <w:tcPr>
            <w:tcW w:w="1218" w:type="dxa"/>
            <w:vAlign w:val="center"/>
          </w:tcPr>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70分以上</w:t>
            </w:r>
          </w:p>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但备案未满两年</w:t>
            </w:r>
          </w:p>
        </w:tc>
        <w:tc>
          <w:tcPr>
            <w:tcW w:w="1219" w:type="dxa"/>
            <w:vAlign w:val="center"/>
          </w:tcPr>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60-70分</w:t>
            </w:r>
          </w:p>
        </w:tc>
        <w:tc>
          <w:tcPr>
            <w:tcW w:w="1219" w:type="dxa"/>
            <w:vAlign w:val="center"/>
          </w:tcPr>
          <w:p>
            <w:pPr>
              <w:snapToGrid w:val="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60分以下</w:t>
            </w:r>
          </w:p>
        </w:tc>
      </w:tr>
    </w:tbl>
    <w:p>
      <w:pPr>
        <w:spacing w:line="360" w:lineRule="auto"/>
        <w:ind w:firstLine="480" w:firstLineChars="200"/>
        <w:rPr>
          <w:rFonts w:ascii="Times New Roman" w:hAnsi="Times New Roman"/>
          <w:color w:val="000000" w:themeColor="text1"/>
          <w:sz w:val="24"/>
          <w14:textFill>
            <w14:solidFill>
              <w14:schemeClr w14:val="tx1"/>
            </w14:solidFill>
          </w14:textFill>
        </w:rPr>
      </w:pPr>
    </w:p>
    <w:p>
      <w:pPr>
        <w:spacing w:line="360" w:lineRule="auto"/>
        <w:ind w:firstLine="481"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信用评分：</w:t>
      </w:r>
      <w:r>
        <w:rPr>
          <w:rFonts w:ascii="Times New Roman" w:hAnsi="Times New Roman" w:eastAsia="仿宋"/>
          <w:color w:val="000000" w:themeColor="text1"/>
          <w:sz w:val="24"/>
          <w14:textFill>
            <w14:solidFill>
              <w14:schemeClr w14:val="tx1"/>
            </w14:solidFill>
          </w14:textFill>
        </w:rPr>
        <w:t>采用累计积分、动态实时管理的模式。自信用评分评级工作实施之日起，信用评分执行过程中信用分值不设最高分限制，不进行年度重置。</w:t>
      </w:r>
    </w:p>
    <w:p>
      <w:pPr>
        <w:spacing w:line="360" w:lineRule="auto"/>
        <w:ind w:firstLine="481"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信用评分公式：</w:t>
      </w:r>
      <w:r>
        <w:rPr>
          <w:rFonts w:ascii="Times New Roman" w:hAnsi="Times New Roman" w:eastAsia="仿宋"/>
          <w:color w:val="000000" w:themeColor="text1"/>
          <w:sz w:val="24"/>
          <w14:textFill>
            <w14:solidFill>
              <w14:schemeClr w14:val="tx1"/>
            </w14:solidFill>
          </w14:textFill>
        </w:rPr>
        <w:t>信用分值＝基础分值+良好行为加分值+不良行为减分值（负分）</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注：信用评分基础分值统一设定为70分。</w:t>
      </w:r>
    </w:p>
    <w:p>
      <w:pPr>
        <w:spacing w:line="360" w:lineRule="auto"/>
        <w:ind w:left="958" w:leftChars="456"/>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信用分值不重置，新设立企业或新取得业务水平认证的个人会员首次信用评分的基础分为70分。</w:t>
      </w:r>
    </w:p>
    <w:p>
      <w:pPr>
        <w:spacing w:line="360" w:lineRule="auto"/>
        <w:ind w:firstLine="481"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信用评分记录的来源主要包括：</w:t>
      </w:r>
      <w:r>
        <w:rPr>
          <w:rFonts w:ascii="Times New Roman" w:hAnsi="Times New Roman" w:eastAsia="仿宋"/>
          <w:color w:val="000000" w:themeColor="text1"/>
          <w:sz w:val="24"/>
          <w14:textFill>
            <w14:solidFill>
              <w14:schemeClr w14:val="tx1"/>
            </w14:solidFill>
          </w14:textFill>
        </w:rPr>
        <w:t>市住建局建立的中介机构及从业人员信用档案和市中介协会开展行业自律管理工作中所收集的与中介机构、从业人员执业服务等有关的信用信息。</w:t>
      </w:r>
    </w:p>
    <w:p>
      <w:pPr>
        <w:spacing w:line="360" w:lineRule="auto"/>
        <w:ind w:firstLine="481"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b/>
          <w:color w:val="000000" w:themeColor="text1"/>
          <w:sz w:val="24"/>
          <w14:textFill>
            <w14:solidFill>
              <w14:schemeClr w14:val="tx1"/>
            </w14:solidFill>
          </w14:textFill>
        </w:rPr>
        <w:t>信用评分指标：</w:t>
      </w:r>
      <w:r>
        <w:rPr>
          <w:rFonts w:ascii="Times New Roman" w:hAnsi="Times New Roman" w:eastAsia="仿宋"/>
          <w:color w:val="000000" w:themeColor="text1"/>
          <w:sz w:val="24"/>
          <w14:textFill>
            <w14:solidFill>
              <w14:schemeClr w14:val="tx1"/>
            </w14:solidFill>
          </w14:textFill>
        </w:rPr>
        <w:t>分为良好行为评分指标和不良行为评分指标。</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评分指标根据良好行为的有益程度和不良行为的危害程度，分为A、B、C、D四个等级，其中良好行为的有益程度从A至D依次递减，不良行为的危害程度从A至D依次递减，具体如下：</w:t>
      </w:r>
    </w:p>
    <w:p>
      <w:pPr>
        <w:spacing w:line="360" w:lineRule="auto"/>
        <w:ind w:firstLine="420" w:firstLineChars="200"/>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表2  信用指标与分值的对应关系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8"/>
        <w:gridCol w:w="1217"/>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黑体"/>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黑体"/>
                <w:sz w:val="24"/>
                <w:szCs w:val="28"/>
              </w:rPr>
            </w:pPr>
            <w:r>
              <w:rPr>
                <w:rFonts w:ascii="Times New Roman" w:hAnsi="Times New Roman" w:eastAsia="黑体"/>
                <w:sz w:val="24"/>
                <w:szCs w:val="28"/>
              </w:rPr>
              <w:t>等级</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黑体"/>
                <w:sz w:val="24"/>
                <w:szCs w:val="28"/>
              </w:rPr>
            </w:pPr>
            <w:r>
              <w:rPr>
                <w:rFonts w:ascii="Times New Roman" w:hAnsi="Times New Roman" w:eastAsia="黑体"/>
                <w:sz w:val="24"/>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sz w:val="24"/>
                <w:szCs w:val="28"/>
              </w:rPr>
            </w:pPr>
            <w:r>
              <w:rPr>
                <w:rFonts w:ascii="Times New Roman" w:hAnsi="Times New Roman" w:eastAsia="仿宋"/>
                <w:sz w:val="24"/>
                <w:szCs w:val="28"/>
              </w:rPr>
              <w:t>良好行为信用评分记录</w:t>
            </w: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A</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B</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5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C</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D</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sz w:val="24"/>
                <w:szCs w:val="28"/>
              </w:rPr>
            </w:pPr>
            <w:r>
              <w:rPr>
                <w:rFonts w:ascii="Times New Roman" w:hAnsi="Times New Roman" w:eastAsia="仿宋"/>
                <w:sz w:val="24"/>
                <w:szCs w:val="28"/>
              </w:rPr>
              <w:t>不良行为信用评分记录</w:t>
            </w: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A</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B</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5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C</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szCs w:val="28"/>
              </w:rPr>
            </w:pPr>
          </w:p>
        </w:tc>
        <w:tc>
          <w:tcPr>
            <w:tcW w:w="1217"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D</w:t>
            </w:r>
          </w:p>
        </w:tc>
        <w:tc>
          <w:tcPr>
            <w:tcW w:w="12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仿宋"/>
                <w:sz w:val="24"/>
                <w:szCs w:val="28"/>
              </w:rPr>
            </w:pPr>
            <w:r>
              <w:rPr>
                <w:rFonts w:ascii="Times New Roman" w:hAnsi="Times New Roman" w:eastAsia="仿宋"/>
                <w:sz w:val="24"/>
                <w:szCs w:val="28"/>
              </w:rPr>
              <w:t>-5</w:t>
            </w:r>
          </w:p>
        </w:tc>
      </w:tr>
    </w:tbl>
    <w:p>
      <w:pPr>
        <w:widowControl/>
        <w:shd w:val="clear" w:color="auto" w:fill="FFFFFF"/>
        <w:spacing w:line="360" w:lineRule="auto"/>
        <w:ind w:firstLine="480" w:firstLineChars="200"/>
        <w:rPr>
          <w:rFonts w:ascii="Times New Roman" w:hAnsi="Times New Roman" w:eastAsia="仿宋"/>
          <w:bCs/>
          <w:color w:val="000000" w:themeColor="text1"/>
          <w:kern w:val="0"/>
          <w:sz w:val="24"/>
          <w:szCs w:val="24"/>
          <w14:textFill>
            <w14:solidFill>
              <w14:schemeClr w14:val="tx1"/>
            </w14:solidFill>
          </w14:textFill>
        </w:rPr>
      </w:pPr>
      <w:r>
        <w:rPr>
          <w:rFonts w:ascii="Times New Roman" w:hAnsi="Times New Roman" w:eastAsia="仿宋"/>
          <w:bCs/>
          <w:color w:val="000000" w:themeColor="text1"/>
          <w:kern w:val="0"/>
          <w:sz w:val="24"/>
          <w:szCs w:val="24"/>
          <w14:textFill>
            <w14:solidFill>
              <w14:schemeClr w14:val="tx1"/>
            </w14:solidFill>
          </w14:textFill>
        </w:rPr>
        <w:t>其中，不良行为评分指标的设计，分别依据了以下有关房地产中介管理的法律法规以及行业自律规范。</w:t>
      </w:r>
    </w:p>
    <w:p>
      <w:pPr>
        <w:pStyle w:val="26"/>
        <w:tabs>
          <w:tab w:val="left" w:pos="1048"/>
          <w:tab w:val="clear" w:pos="900"/>
        </w:tabs>
        <w:jc w:val="center"/>
        <w:rPr>
          <w:rFonts w:hint="default"/>
          <w:b/>
          <w:bCs/>
          <w:color w:val="000000" w:themeColor="text1"/>
          <w:kern w:val="0"/>
          <w:szCs w:val="21"/>
          <w14:textFill>
            <w14:solidFill>
              <w14:schemeClr w14:val="tx1"/>
            </w14:solidFill>
          </w14:textFill>
        </w:rPr>
      </w:pPr>
      <w:r>
        <w:rPr>
          <w:rFonts w:hint="default"/>
          <w:bCs/>
          <w:color w:val="000000" w:themeColor="text1"/>
          <w:kern w:val="0"/>
          <w:szCs w:val="21"/>
          <w14:textFill>
            <w14:solidFill>
              <w14:schemeClr w14:val="tx1"/>
            </w14:solidFill>
          </w14:textFill>
        </w:rPr>
        <w:t xml:space="preserve">表3 </w:t>
      </w:r>
      <w:r>
        <w:rPr>
          <w:rFonts w:hint="default"/>
          <w:color w:val="000000" w:themeColor="text1"/>
          <w:szCs w:val="21"/>
          <w14:textFill>
            <w14:solidFill>
              <w14:schemeClr w14:val="tx1"/>
            </w14:solidFill>
          </w14:textFill>
        </w:rPr>
        <w:t xml:space="preserve"> 不良行为评分指标依据</w:t>
      </w:r>
    </w:p>
    <w:tbl>
      <w:tblPr>
        <w:tblStyle w:val="19"/>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21" w:type="dxa"/>
            <w:vAlign w:val="center"/>
          </w:tcPr>
          <w:p>
            <w:pPr>
              <w:pStyle w:val="17"/>
              <w:spacing w:beforeAutospacing="0" w:afterAutospacing="0" w:line="360" w:lineRule="auto"/>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t>序号</w:t>
            </w:r>
          </w:p>
        </w:tc>
        <w:tc>
          <w:tcPr>
            <w:tcW w:w="8115" w:type="dxa"/>
            <w:vAlign w:val="center"/>
          </w:tcPr>
          <w:p>
            <w:pPr>
              <w:pStyle w:val="17"/>
              <w:spacing w:beforeAutospacing="0" w:afterAutospacing="0" w:line="360" w:lineRule="auto"/>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《广州市房地产中介服务管理条例》</w:t>
            </w:r>
          </w:p>
          <w:p>
            <w:pPr>
              <w:pStyle w:val="17"/>
              <w:spacing w:beforeAutospacing="0" w:afterAutospacing="0" w:line="360" w:lineRule="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szCs w:val="28"/>
              </w:rPr>
              <w:t>（2002年7月17日广州市第十一届人民代表大会常务委员会第三十四次会议通过　2002年10月13日广东省第九届人民代表大会常务委员会第三十七次会议批准。）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2</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《广州市房屋交易监督管理办法》</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szCs w:val="28"/>
              </w:rPr>
              <w:t>（2021年11月2日市人民政府第15届160次常务会议通过，现予公布，自2021年12月20日起施行。）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3</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《房地产经纪管理办法》</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szCs w:val="28"/>
              </w:rPr>
              <w:t>(2011年1月20日住房和城乡建设部、国家发展和改革委员会、人力资源部令第8号发布　根据2016年3月1日中华人民共和国住房和城乡建设部、中华人民共和国国家发展和改革委员会、中华人民共和国人力资源和社会保障部令第29号《住房城乡建设部、国家发展改革委、人力资源社会保障部关于修改〈房地产经纪管理办法〉的决定》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4</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《广州市存量房网上交易规则》</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rPr>
              <w:t>（2020年4月1日广州市住房和城乡建设局关于发布广州市存量房网上交易规则的通知（建规字〔2020〕36号），2020年4月3日起实施。）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5</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《广州市房屋租赁管理规定》</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color w:val="000000" w:themeColor="text1"/>
                <w:szCs w:val="28"/>
                <w14:textFill>
                  <w14:solidFill>
                    <w14:schemeClr w14:val="tx1"/>
                  </w14:solidFill>
                </w14:textFill>
              </w:rPr>
              <w:t>（2020年6月30日广州市第十五届人民代表大会常务委员会第三十八次会议通过，2020年7月29日广东省第十三届人民代表大会常务委员会第二十二次会议批准，2020年12月1日起施行）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6</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《广州市房屋租赁合同登记备案规则》</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szCs w:val="28"/>
              </w:rPr>
              <w:t>（2020年6月30日广州市第十五届人民代表大会常务委员会第三十八次会议通过，2020年7月29日广东省第十三届人民代表大会常务委员会第二十二次会议批准。）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7</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《广州市住房租赁标准》</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color w:val="000000" w:themeColor="text1"/>
                <w:szCs w:val="28"/>
                <w14:textFill>
                  <w14:solidFill>
                    <w14:schemeClr w14:val="tx1"/>
                  </w14:solidFill>
                </w14:textFill>
              </w:rPr>
              <w:t>（2017年10月30日由广州市住房城乡建设委、市公安局、市来穗人员服务管理局联合颁布。）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8</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《房地产经纪执业规则》</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color w:val="000000" w:themeColor="text1"/>
                <w:szCs w:val="28"/>
                <w14:textFill>
                  <w14:solidFill>
                    <w14:schemeClr w14:val="tx1"/>
                  </w14:solidFill>
                </w14:textFill>
              </w:rPr>
              <w:t>（2006年10月31日由中国房地产估价师与房地产经纪人学会发布，2007年1月1日起实施；2013年3月1日修订。）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9</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《广州市房地产中介业务水平认证管理办法》</w:t>
            </w:r>
          </w:p>
          <w:p>
            <w:pPr>
              <w:pStyle w:val="17"/>
              <w:spacing w:beforeAutospacing="0" w:afterAutospacing="0" w:line="360" w:lineRule="auto"/>
              <w:rPr>
                <w:rFonts w:ascii="Times New Roman" w:hAnsi="Times New Roman" w:eastAsia="仿宋" w:cs="Times New Roman"/>
                <w:color w:val="000000" w:themeColor="text1"/>
                <w:szCs w:val="28"/>
                <w14:textFill>
                  <w14:solidFill>
                    <w14:schemeClr w14:val="tx1"/>
                  </w14:solidFill>
                </w14:textFill>
              </w:rPr>
            </w:pPr>
            <w:r>
              <w:rPr>
                <w:rFonts w:ascii="Times New Roman" w:hAnsi="Times New Roman" w:eastAsia="仿宋" w:cs="Times New Roman"/>
                <w:color w:val="000000" w:themeColor="text1"/>
                <w:szCs w:val="28"/>
                <w14:textFill>
                  <w14:solidFill>
                    <w14:schemeClr w14:val="tx1"/>
                  </w14:solidFill>
                </w14:textFill>
              </w:rPr>
              <w:t>（2016年9月由广州市房地产中介协会发布实施，2018年6月4日第一次修订；2019年1月28日第二次修订。）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10</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szCs w:val="28"/>
                <w14:textFill>
                  <w14:solidFill>
                    <w14:schemeClr w14:val="tx1"/>
                  </w14:solidFill>
                </w14:textFill>
              </w:rPr>
            </w:pPr>
            <w:r>
              <w:rPr>
                <w:rFonts w:ascii="Times New Roman" w:hAnsi="Times New Roman" w:eastAsia="仿宋" w:cs="Times New Roman"/>
                <w:b/>
                <w:bCs/>
                <w:color w:val="000000" w:themeColor="text1"/>
                <w:szCs w:val="28"/>
                <w14:textFill>
                  <w14:solidFill>
                    <w14:schemeClr w14:val="tx1"/>
                  </w14:solidFill>
                </w14:textFill>
              </w:rPr>
              <w:t>《商品房销售管理办法》</w:t>
            </w:r>
          </w:p>
          <w:p>
            <w:pPr>
              <w:pStyle w:val="17"/>
              <w:spacing w:beforeAutospacing="0" w:afterAutospacing="0" w:line="360" w:lineRule="auto"/>
              <w:rPr>
                <w:rFonts w:ascii="Times New Roman" w:hAnsi="Times New Roman" w:eastAsia="仿宋" w:cs="Times New Roman"/>
                <w:color w:val="000000" w:themeColor="text1"/>
                <w:sz w:val="28"/>
                <w:szCs w:val="28"/>
                <w:shd w:val="clear" w:color="auto" w:fill="FFFFFF"/>
                <w14:textFill>
                  <w14:solidFill>
                    <w14:schemeClr w14:val="tx1"/>
                  </w14:solidFill>
                </w14:textFill>
              </w:rPr>
            </w:pPr>
            <w:r>
              <w:rPr>
                <w:rFonts w:ascii="Times New Roman" w:hAnsi="Times New Roman" w:eastAsia="仿宋" w:cs="Times New Roman"/>
                <w:color w:val="000000" w:themeColor="text1"/>
                <w:szCs w:val="28"/>
                <w14:textFill>
                  <w14:solidFill>
                    <w14:schemeClr w14:val="tx1"/>
                  </w14:solidFill>
                </w14:textFill>
              </w:rPr>
              <w:t>(《办法》已于2001年3月14日经建设部第38次部常务会议审议通过，自2001年6月1日起施行。)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pPr>
              <w:pStyle w:val="17"/>
              <w:spacing w:beforeAutospacing="0" w:afterAutospacing="0" w:line="360" w:lineRule="auto"/>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11</w:t>
            </w:r>
          </w:p>
        </w:tc>
        <w:tc>
          <w:tcPr>
            <w:tcW w:w="8115" w:type="dxa"/>
            <w:vAlign w:val="center"/>
          </w:tcPr>
          <w:p>
            <w:pPr>
              <w:pStyle w:val="17"/>
              <w:spacing w:beforeAutospacing="0" w:afterAutospacing="0"/>
              <w:jc w:val="center"/>
              <w:rPr>
                <w:rFonts w:ascii="Times New Roman" w:hAnsi="Times New Roman" w:eastAsia="仿宋" w:cs="Times New Roman"/>
                <w:b/>
                <w:bCs/>
                <w:color w:val="000000" w:themeColor="text1"/>
                <w14:textFill>
                  <w14:solidFill>
                    <w14:schemeClr w14:val="tx1"/>
                  </w14:solidFill>
                </w14:textFill>
              </w:rPr>
            </w:pPr>
            <w:r>
              <w:rPr>
                <w:rFonts w:ascii="Times New Roman" w:hAnsi="Times New Roman" w:eastAsia="仿宋" w:cs="Times New Roman"/>
                <w:b/>
                <w:bCs/>
                <w:color w:val="000000" w:themeColor="text1"/>
                <w14:textFill>
                  <w14:solidFill>
                    <w14:schemeClr w14:val="tx1"/>
                  </w14:solidFill>
                </w14:textFill>
              </w:rPr>
              <w:t>《商品房屋租赁管理办法》</w:t>
            </w:r>
          </w:p>
          <w:p>
            <w:pPr>
              <w:pStyle w:val="17"/>
              <w:spacing w:beforeAutospacing="0" w:afterAutospacing="0" w:line="360" w:lineRule="auto"/>
              <w:rPr>
                <w:rFonts w:ascii="Times New Roman" w:hAnsi="Times New Roman" w:eastAsia="仿宋" w:cs="Times New Roman"/>
                <w:bCs/>
                <w:color w:val="000000" w:themeColor="text1"/>
                <w:sz w:val="28"/>
                <w:szCs w:val="28"/>
                <w14:textFill>
                  <w14:solidFill>
                    <w14:schemeClr w14:val="tx1"/>
                  </w14:solidFill>
                </w14:textFill>
              </w:rPr>
            </w:pPr>
            <w:r>
              <w:rPr>
                <w:rFonts w:ascii="Times New Roman" w:hAnsi="Times New Roman" w:eastAsia="仿宋" w:cs="Times New Roman"/>
                <w:color w:val="000000" w:themeColor="text1"/>
                <w:szCs w:val="28"/>
                <w14:textFill>
                  <w14:solidFill>
                    <w14:schemeClr w14:val="tx1"/>
                  </w14:solidFill>
                </w14:textFill>
              </w:rPr>
              <w:t>（2010年12月01日由中华人民共和国住房和城乡建设部令第6号发布实施。）</w:t>
            </w:r>
          </w:p>
        </w:tc>
      </w:tr>
    </w:tbl>
    <w:p>
      <w:pPr>
        <w:spacing w:before="240" w:beforeLines="100" w:after="240" w:afterLines="100"/>
        <w:rPr>
          <w:rFonts w:ascii="Times New Roman" w:hAnsi="Times New Roman" w:eastAsia="黑体"/>
          <w:b/>
          <w:sz w:val="28"/>
        </w:rPr>
      </w:pPr>
      <w:r>
        <w:rPr>
          <w:rFonts w:ascii="Times New Roman" w:hAnsi="Times New Roman" w:eastAsia="黑体"/>
          <w:b/>
          <w:sz w:val="28"/>
        </w:rPr>
        <w:t>（三）信用档案查询方式</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社会公众可通过以下4种方式查阅广州市中介机构及从业人员的信用档案：</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1、登录市住建局网站中的广州市房地产中介信用信息查询窗口（</w:t>
      </w:r>
      <w:r>
        <w:fldChar w:fldCharType="begin"/>
      </w:r>
      <w:r>
        <w:instrText xml:space="preserve"> HYPERLINK "http://121.8.227.76/web/Home.aspx" </w:instrText>
      </w:r>
      <w:r>
        <w:fldChar w:fldCharType="separate"/>
      </w:r>
      <w:r>
        <w:rPr>
          <w:rStyle w:val="23"/>
          <w:rFonts w:ascii="Times New Roman" w:hAnsi="Times New Roman" w:eastAsia="仿宋"/>
          <w:color w:val="000000" w:themeColor="text1"/>
          <w:sz w:val="24"/>
          <w14:textFill>
            <w14:solidFill>
              <w14:schemeClr w14:val="tx1"/>
            </w14:solidFill>
          </w14:textFill>
        </w:rPr>
        <w:t>http://121.8.227.76/web/Home.aspx</w:t>
      </w:r>
      <w:r>
        <w:rPr>
          <w:rStyle w:val="23"/>
          <w:rFonts w:ascii="Times New Roman" w:hAnsi="Times New Roman" w:eastAsia="仿宋"/>
          <w:color w:val="000000" w:themeColor="text1"/>
          <w:sz w:val="24"/>
          <w14:textFill>
            <w14:solidFill>
              <w14:schemeClr w14:val="tx1"/>
            </w14:solidFill>
          </w14:textFill>
        </w:rPr>
        <w:fldChar w:fldCharType="end"/>
      </w:r>
      <w:r>
        <w:rPr>
          <w:rFonts w:ascii="Times New Roman" w:hAnsi="Times New Roman" w:eastAsia="仿宋"/>
          <w:color w:val="000000" w:themeColor="text1"/>
          <w:sz w:val="24"/>
          <w14:textFill>
            <w14:solidFill>
              <w14:schemeClr w14:val="tx1"/>
            </w14:solidFill>
          </w14:textFill>
        </w:rPr>
        <w:t>）；</w:t>
      </w:r>
    </w:p>
    <w:p>
      <w:pPr>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2、扫描《广州市房地产中介服务机构备案证书》和《广州市房地产中介服务人员信用信息卡》上的二维码；</w:t>
      </w:r>
    </w:p>
    <w:p>
      <w:pPr>
        <w:jc w:val="center"/>
        <w:rPr>
          <w:rFonts w:ascii="Times New Roman" w:hAnsi="Times New Roman" w:eastAsiaTheme="minorEastAsia"/>
          <w:color w:val="000000" w:themeColor="text1"/>
          <w:sz w:val="24"/>
          <w14:textFill>
            <w14:solidFill>
              <w14:schemeClr w14:val="tx1"/>
            </w14:solidFill>
          </w14:textFill>
        </w:rPr>
      </w:pPr>
      <w:r>
        <w:rPr>
          <w:rFonts w:ascii="Times New Roman" w:hAnsi="Times New Roman" w:eastAsiaTheme="minorEastAsia"/>
          <w:color w:val="000000" w:themeColor="text1"/>
          <w:sz w:val="24"/>
          <w14:textFill>
            <w14:solidFill>
              <w14:schemeClr w14:val="tx1"/>
            </w14:solidFill>
          </w14:textFill>
        </w:rPr>
        <w:drawing>
          <wp:inline distT="0" distB="0" distL="0" distR="0">
            <wp:extent cx="3787140" cy="2607945"/>
            <wp:effectExtent l="0" t="0" r="10160" b="8255"/>
            <wp:docPr id="1" name="图片 1" descr="C:\Users\gzrea\AppData\Local\Temp\WeChat Files\63eab81bb8ea0571a4caa9e0cbab202.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C:\Users\gzrea\AppData\Local\Temp\WeChat Files\63eab81bb8ea0571a4caa9e0cbab202.jpg"/>
                    <pic:cNvPicPr>
                      <a:picLocks noChangeAspect="true" noChangeArrowheads="true"/>
                    </pic:cNvPicPr>
                  </pic:nvPicPr>
                  <pic:blipFill>
                    <a:blip r:embed="rId54">
                      <a:extLst>
                        <a:ext uri="{28A0092B-C50C-407E-A947-70E740481C1C}">
                          <a14:useLocalDpi xmlns:a14="http://schemas.microsoft.com/office/drawing/2010/main" val="false"/>
                        </a:ext>
                      </a:extLst>
                    </a:blip>
                    <a:srcRect/>
                    <a:stretch>
                      <a:fillRect/>
                    </a:stretch>
                  </pic:blipFill>
                  <pic:spPr>
                    <a:xfrm>
                      <a:off x="0" y="0"/>
                      <a:ext cx="3788886" cy="2609340"/>
                    </a:xfrm>
                    <a:prstGeom prst="rect">
                      <a:avLst/>
                    </a:prstGeom>
                    <a:noFill/>
                    <a:ln>
                      <a:noFill/>
                    </a:ln>
                  </pic:spPr>
                </pic:pic>
              </a:graphicData>
            </a:graphic>
          </wp:inline>
        </w:drawing>
      </w:r>
    </w:p>
    <w:p>
      <w:pPr>
        <w:tabs>
          <w:tab w:val="center" w:pos="4156"/>
          <w:tab w:val="left" w:pos="6105"/>
        </w:tabs>
        <w:spacing w:line="360" w:lineRule="auto"/>
        <w:jc w:val="center"/>
        <w:rPr>
          <w:rFonts w:ascii="Times New Roman" w:hAnsi="Times New Roman" w:eastAsiaTheme="minorEastAsia"/>
          <w:color w:val="000000" w:themeColor="text1"/>
          <w:sz w:val="22"/>
          <w14:textFill>
            <w14:solidFill>
              <w14:schemeClr w14:val="tx1"/>
            </w14:solidFill>
          </w14:textFill>
        </w:rPr>
      </w:pPr>
      <w:r>
        <w:rPr>
          <w:rFonts w:ascii="Times New Roman" w:hAnsi="Times New Roman" w:eastAsiaTheme="minorEastAsia"/>
          <w:color w:val="000000" w:themeColor="text1"/>
          <w:sz w:val="22"/>
          <w14:textFill>
            <w14:solidFill>
              <w14:schemeClr w14:val="tx1"/>
            </w14:solidFill>
          </w14:textFill>
        </w:rPr>
        <w:t>图1 《广州市房地产中介服务机构备案证书》样式</w:t>
      </w:r>
    </w:p>
    <w:p>
      <w:pPr>
        <w:spacing w:line="360" w:lineRule="auto"/>
        <w:jc w:val="center"/>
        <w:rPr>
          <w:rFonts w:ascii="Times New Roman" w:hAnsi="Times New Roman" w:eastAsiaTheme="minorEastAsia"/>
          <w:color w:val="000000" w:themeColor="text1"/>
          <w:sz w:val="24"/>
          <w14:textFill>
            <w14:solidFill>
              <w14:schemeClr w14:val="tx1"/>
            </w14:solidFill>
          </w14:textFill>
        </w:rPr>
      </w:pPr>
      <w:r>
        <w:rPr>
          <w:rFonts w:ascii="Times New Roman" w:hAnsi="Times New Roman" w:eastAsiaTheme="minorEastAsia"/>
          <w:color w:val="000000" w:themeColor="text1"/>
          <w:sz w:val="24"/>
          <w14:textFill>
            <w14:solidFill>
              <w14:schemeClr w14:val="tx1"/>
            </w14:solidFill>
          </w14:textFill>
        </w:rPr>
        <w:drawing>
          <wp:inline distT="0" distB="0" distL="0" distR="0">
            <wp:extent cx="3795395" cy="2806700"/>
            <wp:effectExtent l="0" t="0" r="1905" b="0"/>
            <wp:docPr id="3" name="图片 3" descr="C:\Users\gzrea\AppData\Local\Temp\WeChat Files\d30ba0fce430d7600dbc57c3c6a356e.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C:\Users\gzrea\AppData\Local\Temp\WeChat Files\d30ba0fce430d7600dbc57c3c6a356e.jpg"/>
                    <pic:cNvPicPr>
                      <a:picLocks noChangeAspect="true" noChangeArrowheads="true"/>
                    </pic:cNvPicPr>
                  </pic:nvPicPr>
                  <pic:blipFill>
                    <a:blip r:embed="rId55">
                      <a:extLst>
                        <a:ext uri="{28A0092B-C50C-407E-A947-70E740481C1C}">
                          <a14:useLocalDpi xmlns:a14="http://schemas.microsoft.com/office/drawing/2010/main" val="false"/>
                        </a:ext>
                      </a:extLst>
                    </a:blip>
                    <a:srcRect/>
                    <a:stretch>
                      <a:fillRect/>
                    </a:stretch>
                  </pic:blipFill>
                  <pic:spPr>
                    <a:xfrm>
                      <a:off x="0" y="0"/>
                      <a:ext cx="3809721" cy="2817329"/>
                    </a:xfrm>
                    <a:prstGeom prst="rect">
                      <a:avLst/>
                    </a:prstGeom>
                    <a:noFill/>
                    <a:ln>
                      <a:noFill/>
                    </a:ln>
                  </pic:spPr>
                </pic:pic>
              </a:graphicData>
            </a:graphic>
          </wp:inline>
        </w:drawing>
      </w:r>
    </w:p>
    <w:p>
      <w:pPr>
        <w:spacing w:line="360" w:lineRule="auto"/>
        <w:jc w:val="center"/>
        <w:rPr>
          <w:rFonts w:ascii="Times New Roman" w:hAnsi="Times New Roman" w:eastAsiaTheme="minorEastAsia"/>
          <w:color w:val="000000" w:themeColor="text1"/>
          <w:sz w:val="22"/>
          <w14:textFill>
            <w14:solidFill>
              <w14:schemeClr w14:val="tx1"/>
            </w14:solidFill>
          </w14:textFill>
        </w:rPr>
      </w:pPr>
      <w:r>
        <w:rPr>
          <w:rFonts w:ascii="Times New Roman" w:hAnsi="Times New Roman" w:eastAsiaTheme="minorEastAsia"/>
          <w:color w:val="000000" w:themeColor="text1"/>
          <w:sz w:val="22"/>
          <w14:textFill>
            <w14:solidFill>
              <w14:schemeClr w14:val="tx1"/>
            </w14:solidFill>
          </w14:textFill>
        </w:rPr>
        <w:t>图2 《广州市房地产中介从业人员信用信息卡》样式</w:t>
      </w:r>
    </w:p>
    <w:p>
      <w:pPr>
        <w:spacing w:line="360" w:lineRule="auto"/>
        <w:ind w:firstLine="480" w:firstLineChars="200"/>
        <w:jc w:val="left"/>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3、登录市中介协会网站中的中介信用档案专栏：</w:t>
      </w:r>
      <w:r>
        <w:fldChar w:fldCharType="begin"/>
      </w:r>
      <w:r>
        <w:instrText xml:space="preserve"> HYPERLINK "http://www.gzrea.org.cn/website/consumer/index.jsp" </w:instrText>
      </w:r>
      <w:r>
        <w:fldChar w:fldCharType="separate"/>
      </w:r>
      <w:r>
        <w:rPr>
          <w:rStyle w:val="23"/>
          <w:rFonts w:ascii="Times New Roman" w:hAnsi="Times New Roman" w:eastAsia="仿宋"/>
          <w:color w:val="000000" w:themeColor="text1"/>
          <w:sz w:val="24"/>
          <w14:textFill>
            <w14:solidFill>
              <w14:schemeClr w14:val="tx1"/>
            </w14:solidFill>
          </w14:textFill>
        </w:rPr>
        <w:t>http://www.gzrea.org.cn/website/consumer/index.jsp</w:t>
      </w:r>
      <w:r>
        <w:rPr>
          <w:rStyle w:val="23"/>
          <w:rFonts w:ascii="Times New Roman" w:hAnsi="Times New Roman" w:eastAsia="仿宋"/>
          <w:color w:val="000000" w:themeColor="text1"/>
          <w:sz w:val="24"/>
          <w14:textFill>
            <w14:solidFill>
              <w14:schemeClr w14:val="tx1"/>
            </w14:solidFill>
          </w14:textFill>
        </w:rPr>
        <w:fldChar w:fldCharType="end"/>
      </w:r>
      <w:r>
        <w:rPr>
          <w:rFonts w:ascii="Times New Roman" w:hAnsi="Times New Roman" w:eastAsia="仿宋"/>
          <w:color w:val="000000" w:themeColor="text1"/>
          <w:sz w:val="24"/>
          <w14:textFill>
            <w14:solidFill>
              <w14:schemeClr w14:val="tx1"/>
            </w14:solidFill>
          </w14:textFill>
        </w:rPr>
        <w:t>；</w:t>
      </w:r>
    </w:p>
    <w:p>
      <w:pPr>
        <w:wordWrap w:val="0"/>
        <w:spacing w:line="360" w:lineRule="auto"/>
        <w:ind w:firstLine="480" w:firstLineChars="200"/>
        <w:rPr>
          <w:rFonts w:ascii="Times New Roman" w:hAnsi="Times New Roman" w:eastAsia="仿宋"/>
          <w:color w:val="000000" w:themeColor="text1"/>
          <w:sz w:val="24"/>
          <w14:textFill>
            <w14:solidFill>
              <w14:schemeClr w14:val="tx1"/>
            </w14:solidFill>
          </w14:textFill>
        </w:rPr>
      </w:pPr>
      <w:r>
        <w:rPr>
          <w:rFonts w:ascii="Times New Roman" w:hAnsi="Times New Roman" w:eastAsia="仿宋"/>
          <w:color w:val="000000" w:themeColor="text1"/>
          <w:sz w:val="24"/>
          <w14:textFill>
            <w14:solidFill>
              <w14:schemeClr w14:val="tx1"/>
            </w14:solidFill>
          </w14:textFill>
        </w:rPr>
        <w:t>4、关注广州市房地产中介协会微信公众号（微信号：GZREA2010）。</w:t>
      </w:r>
    </w:p>
    <w:p>
      <w:pPr>
        <w:jc w:val="center"/>
        <w:rPr>
          <w:rFonts w:ascii="Times New Roman" w:hAnsi="Times New Roman"/>
          <w:color w:val="000000" w:themeColor="text1"/>
          <w14:textFill>
            <w14:solidFill>
              <w14:schemeClr w14:val="tx1"/>
            </w14:solidFill>
          </w14:textFill>
        </w:rPr>
      </w:pPr>
      <w:r>
        <w:rPr>
          <w:rFonts w:ascii="Times New Roman" w:hAnsi="Times New Roman"/>
        </w:rPr>
        <w:drawing>
          <wp:inline distT="0" distB="0" distL="0" distR="0">
            <wp:extent cx="1449070" cy="1449070"/>
            <wp:effectExtent l="0" t="0" r="11430" b="11430"/>
            <wp:docPr id="8" name="图片 8" descr="C:\Users\gzrea\AppData\Local\Temp\WeChat Files\8632630a93a18b0d739d9b59c0350de.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C:\Users\gzrea\AppData\Local\Temp\WeChat Files\8632630a93a18b0d739d9b59c0350de.jpg"/>
                    <pic:cNvPicPr>
                      <a:picLocks noChangeAspect="true" noChangeArrowheads="true"/>
                    </pic:cNvPicPr>
                  </pic:nvPicPr>
                  <pic:blipFill>
                    <a:blip r:embed="rId56">
                      <a:extLst>
                        <a:ext uri="{28A0092B-C50C-407E-A947-70E740481C1C}">
                          <a14:useLocalDpi xmlns:a14="http://schemas.microsoft.com/office/drawing/2010/main" val="false"/>
                        </a:ext>
                      </a:extLst>
                    </a:blip>
                    <a:srcRect/>
                    <a:stretch>
                      <a:fillRect/>
                    </a:stretch>
                  </pic:blipFill>
                  <pic:spPr>
                    <a:xfrm>
                      <a:off x="0" y="0"/>
                      <a:ext cx="1449164" cy="1449164"/>
                    </a:xfrm>
                    <a:prstGeom prst="rect">
                      <a:avLst/>
                    </a:prstGeom>
                    <a:noFill/>
                    <a:ln>
                      <a:noFill/>
                    </a:ln>
                  </pic:spPr>
                </pic:pic>
              </a:graphicData>
            </a:graphic>
          </wp:inline>
        </w:drawing>
      </w:r>
      <w:r>
        <w:rPr>
          <w:rFonts w:ascii="Times New Roman" w:hAnsi="Times New Roman"/>
        </w:rPr>
        <w:br w:type="page"/>
      </w:r>
    </w:p>
    <w:p>
      <w:pPr>
        <w:pStyle w:val="3"/>
        <w:spacing w:before="120" w:beforeLines="50" w:after="120" w:afterLines="50" w:line="360" w:lineRule="auto"/>
        <w:jc w:val="center"/>
        <w:rPr>
          <w:rFonts w:ascii="Times New Roman" w:hAnsi="Times New Roman" w:eastAsia="黑体" w:cs="Times New Roman"/>
          <w:color w:val="000000" w:themeColor="text1"/>
          <w14:textFill>
            <w14:solidFill>
              <w14:schemeClr w14:val="tx1"/>
            </w14:solidFill>
          </w14:textFill>
        </w:rPr>
      </w:pPr>
      <w:bookmarkStart w:id="287" w:name="_Toc98168336"/>
      <w:bookmarkStart w:id="288" w:name="_Toc129785121"/>
      <w:r>
        <w:rPr>
          <w:rFonts w:ascii="Times New Roman" w:hAnsi="Times New Roman" w:eastAsia="黑体" w:cs="Times New Roman"/>
          <w:color w:val="000000" w:themeColor="text1"/>
          <w14:textFill>
            <w14:solidFill>
              <w14:schemeClr w14:val="tx1"/>
            </w14:solidFill>
          </w14:textFill>
        </w:rPr>
        <w:t>2.</w:t>
      </w:r>
      <w:bookmarkEnd w:id="286"/>
      <w:r>
        <w:rPr>
          <w:rFonts w:ascii="Times New Roman" w:hAnsi="Times New Roman" w:eastAsia="黑体" w:cs="Times New Roman"/>
          <w:color w:val="000000" w:themeColor="text1"/>
          <w14:textFill>
            <w14:solidFill>
              <w14:schemeClr w14:val="tx1"/>
            </w14:solidFill>
          </w14:textFill>
        </w:rPr>
        <w:t>广州市房地产中介信用评分评级管理办法（2022年修订版）</w:t>
      </w:r>
      <w:bookmarkEnd w:id="287"/>
      <w:bookmarkEnd w:id="288"/>
    </w:p>
    <w:p>
      <w:pPr>
        <w:widowControl/>
        <w:shd w:val="clear" w:color="auto" w:fill="FFFFFF"/>
        <w:spacing w:line="360" w:lineRule="auto"/>
        <w:ind w:firstLine="470" w:firstLineChars="196"/>
        <w:rPr>
          <w:rFonts w:ascii="Times New Roman" w:hAnsi="Times New Roman" w:eastAsia="仿宋"/>
          <w:kern w:val="0"/>
          <w:sz w:val="24"/>
          <w:szCs w:val="24"/>
          <w:shd w:val="clear" w:color="auto" w:fill="FFFFFF"/>
        </w:rPr>
      </w:pPr>
      <w:r>
        <w:rPr>
          <w:rFonts w:ascii="Times New Roman" w:hAnsi="Times New Roman" w:eastAsia="仿宋"/>
          <w:kern w:val="0"/>
          <w:sz w:val="24"/>
          <w:szCs w:val="24"/>
          <w:shd w:val="clear" w:color="auto" w:fill="FFFFFF"/>
        </w:rPr>
        <w:t>（2018年8月15日召开协会第三届理事会第一次会议审议表决通过，自2018年10月23日起实施。2021年9月26日协会第三届理事会第九次会议第一次修订。2022年12月7日协会行业自律管理委员会2022年第六次工作会议修订《广州市房地产中介信用评分指标》。）</w:t>
      </w:r>
    </w:p>
    <w:p>
      <w:pPr>
        <w:spacing w:line="360" w:lineRule="auto"/>
        <w:ind w:firstLine="480" w:firstLineChars="200"/>
        <w:rPr>
          <w:rFonts w:ascii="Times New Roman" w:hAnsi="Times New Roman" w:eastAsia="仿宋"/>
          <w:sz w:val="24"/>
          <w:szCs w:val="24"/>
        </w:rPr>
      </w:pPr>
    </w:p>
    <w:p>
      <w:pPr>
        <w:spacing w:line="360" w:lineRule="auto"/>
        <w:jc w:val="center"/>
        <w:rPr>
          <w:rFonts w:ascii="Times New Roman" w:hAnsi="Times New Roman" w:eastAsia="仿宋"/>
          <w:b/>
          <w:kern w:val="0"/>
          <w:sz w:val="28"/>
          <w:szCs w:val="24"/>
          <w:shd w:val="clear" w:color="auto" w:fill="FFFFFF"/>
        </w:rPr>
      </w:pPr>
      <w:r>
        <w:rPr>
          <w:rFonts w:ascii="Times New Roman" w:hAnsi="Times New Roman" w:eastAsia="仿宋"/>
          <w:b/>
          <w:kern w:val="0"/>
          <w:sz w:val="28"/>
          <w:szCs w:val="24"/>
          <w:shd w:val="clear" w:color="auto" w:fill="FFFFFF"/>
        </w:rPr>
        <w:t>第一章 总 则</w:t>
      </w:r>
    </w:p>
    <w:p>
      <w:pPr>
        <w:widowControl/>
        <w:shd w:val="clear" w:color="auto" w:fill="FFFFFF"/>
        <w:spacing w:line="360" w:lineRule="auto"/>
        <w:ind w:firstLine="472" w:firstLineChars="196"/>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第一条 </w:t>
      </w:r>
      <w:r>
        <w:rPr>
          <w:rFonts w:ascii="Times New Roman" w:hAnsi="Times New Roman" w:eastAsia="仿宋"/>
          <w:kern w:val="0"/>
          <w:sz w:val="24"/>
          <w:szCs w:val="24"/>
          <w:shd w:val="clear" w:color="auto" w:fill="FFFFFF"/>
        </w:rPr>
        <w:t>为进一步规范我市房地产中介服务机构及从业人员的执业行为，强化诚信经营和公平竞争意识，保障我市房地产中介市场持续健康发展，现根据《广州市房地产中介信用管理暂行规定》、《房地产经纪管理办法》、《广州市房地产中介服务管理条例》、《广州市房屋交易监督管理办法》等有关法律法规，以及协会制定的《广州市房地产中介行业执业规范》、《广州市房地产中介行业自律公约》等行业自律规范，制定本办法。</w:t>
      </w:r>
    </w:p>
    <w:p>
      <w:pPr>
        <w:widowControl/>
        <w:shd w:val="clear" w:color="auto" w:fill="FFFFFF"/>
        <w:spacing w:line="360" w:lineRule="auto"/>
        <w:ind w:firstLine="472" w:firstLineChars="196"/>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第二条 </w:t>
      </w:r>
      <w:r>
        <w:rPr>
          <w:rFonts w:ascii="Times New Roman" w:hAnsi="Times New Roman" w:eastAsia="仿宋"/>
          <w:kern w:val="0"/>
          <w:sz w:val="24"/>
          <w:szCs w:val="24"/>
          <w:shd w:val="clear" w:color="auto" w:fill="FFFFFF"/>
        </w:rPr>
        <w:t>广州市房地产中介协会（下称：协会）在广州市住房和城乡建设局（下称：市住建局）指导和监督下，遵循公平、公正、公开、及时的原则，开展协会会员单位及会员单位从业人员的信用评分评级工作。</w:t>
      </w:r>
    </w:p>
    <w:p>
      <w:pPr>
        <w:widowControl/>
        <w:shd w:val="clear" w:color="auto" w:fill="FFFFFF"/>
        <w:spacing w:line="360" w:lineRule="auto"/>
        <w:ind w:firstLine="472" w:firstLineChars="196"/>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第三条</w:t>
      </w:r>
      <w:r>
        <w:rPr>
          <w:rFonts w:ascii="Times New Roman" w:hAnsi="Times New Roman" w:eastAsia="仿宋"/>
          <w:bCs/>
          <w:kern w:val="0"/>
          <w:sz w:val="24"/>
          <w:szCs w:val="24"/>
          <w:shd w:val="clear" w:color="auto" w:fill="FFFFFF"/>
        </w:rPr>
        <w:t xml:space="preserve"> 为全面推进我市房地产中介行业信用管理工作，协会将严格参照本办法对非协会会员单位及其从业人员进行信用评分评级，供社会公众参考使用。</w:t>
      </w:r>
    </w:p>
    <w:p>
      <w:pPr>
        <w:widowControl/>
        <w:shd w:val="clear" w:color="auto" w:fill="FFFFFF"/>
        <w:spacing w:line="360" w:lineRule="auto"/>
        <w:jc w:val="center"/>
        <w:rPr>
          <w:rFonts w:ascii="Times New Roman" w:hAnsi="Times New Roman" w:eastAsia="仿宋"/>
          <w:b/>
          <w:kern w:val="0"/>
          <w:sz w:val="28"/>
          <w:szCs w:val="24"/>
          <w:shd w:val="clear" w:color="auto" w:fill="FFFFFF"/>
        </w:rPr>
      </w:pPr>
      <w:r>
        <w:rPr>
          <w:rFonts w:ascii="Times New Roman" w:hAnsi="Times New Roman" w:eastAsia="仿宋"/>
          <w:b/>
          <w:kern w:val="0"/>
          <w:sz w:val="28"/>
          <w:szCs w:val="24"/>
          <w:shd w:val="clear" w:color="auto" w:fill="FFFFFF"/>
        </w:rPr>
        <w:t>第二章 信用档案</w:t>
      </w:r>
    </w:p>
    <w:p>
      <w:pPr>
        <w:widowControl/>
        <w:shd w:val="clear" w:color="auto" w:fill="FFFFFF"/>
        <w:spacing w:line="360" w:lineRule="auto"/>
        <w:ind w:firstLine="472" w:firstLineChars="196"/>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第四条</w:t>
      </w:r>
      <w:r>
        <w:rPr>
          <w:rFonts w:ascii="Times New Roman" w:hAnsi="Times New Roman" w:eastAsia="仿宋"/>
          <w:bCs/>
          <w:kern w:val="0"/>
          <w:sz w:val="24"/>
          <w:szCs w:val="24"/>
          <w:shd w:val="clear" w:color="auto" w:fill="FFFFFF"/>
        </w:rPr>
        <w:t xml:space="preserve"> 信用档案分为会员单位信用档案和从业人员信用档案两部分。</w:t>
      </w:r>
    </w:p>
    <w:p>
      <w:pPr>
        <w:widowControl/>
        <w:shd w:val="clear" w:color="auto" w:fill="FFFFFF"/>
        <w:spacing w:line="360" w:lineRule="auto"/>
        <w:ind w:firstLine="470" w:firstLineChars="196"/>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会员单位信用档案包括：机构基本信息、信用评分记录（含良好行为信用评分记录、不良行为信用评分记录）、信用分值、信用评级、历年信用情况等信息；</w:t>
      </w:r>
    </w:p>
    <w:p>
      <w:pPr>
        <w:widowControl/>
        <w:shd w:val="clear" w:color="auto" w:fill="FFFFFF"/>
        <w:spacing w:line="360" w:lineRule="auto"/>
        <w:ind w:firstLine="470" w:firstLineChars="196"/>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从业人员信用档案包括：人员基本信息、信用评分记录（含良好行为信用评分记录、不良行为信用评分记录）、信用分值、信用评级、历年信用情况等信息。</w:t>
      </w:r>
    </w:p>
    <w:p>
      <w:pPr>
        <w:widowControl/>
        <w:shd w:val="clear" w:color="auto" w:fill="FFFFFF"/>
        <w:spacing w:line="360" w:lineRule="auto"/>
        <w:ind w:firstLine="472" w:firstLineChars="196"/>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第五条 </w:t>
      </w:r>
      <w:r>
        <w:rPr>
          <w:rFonts w:ascii="Times New Roman" w:hAnsi="Times New Roman" w:eastAsia="仿宋"/>
          <w:bCs/>
          <w:kern w:val="0"/>
          <w:sz w:val="24"/>
          <w:szCs w:val="24"/>
          <w:shd w:val="clear" w:color="auto" w:fill="FFFFFF"/>
        </w:rPr>
        <w:t>协会</w:t>
      </w:r>
      <w:r>
        <w:rPr>
          <w:rFonts w:ascii="Times New Roman" w:hAnsi="Times New Roman" w:eastAsia="仿宋"/>
          <w:kern w:val="0"/>
          <w:sz w:val="24"/>
          <w:szCs w:val="24"/>
          <w:shd w:val="clear" w:color="auto" w:fill="FFFFFF"/>
        </w:rPr>
        <w:t>形成的信用评分记录的主要来源包括：市住建局建立的房地产中介机构及从业人员信用档案和协会开展行业自律管理工作中所收集的与中介机构、从业人员执业服务等有关的信用信息。</w:t>
      </w:r>
    </w:p>
    <w:p>
      <w:pPr>
        <w:widowControl/>
        <w:shd w:val="clear" w:color="auto" w:fill="FFFFFF"/>
        <w:spacing w:line="360" w:lineRule="auto"/>
        <w:ind w:firstLine="470" w:firstLineChars="196"/>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经行政管理部门和司法机关通报的信用信息无须核实及认定；协会开展行业自律管理工作中所收集的信用信息，经协会秘书处初审后，交协会行业自律管理委员会（下称:自律委员会）认定后形成信用评分记录。</w:t>
      </w:r>
    </w:p>
    <w:p>
      <w:pPr>
        <w:widowControl/>
        <w:shd w:val="clear" w:color="auto" w:fill="FFFFFF"/>
        <w:spacing w:line="360" w:lineRule="auto"/>
        <w:ind w:firstLine="472" w:firstLineChars="196"/>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第六条</w:t>
      </w:r>
      <w:r>
        <w:rPr>
          <w:rFonts w:ascii="Times New Roman" w:hAnsi="Times New Roman" w:eastAsia="仿宋"/>
          <w:kern w:val="0"/>
          <w:sz w:val="24"/>
          <w:szCs w:val="24"/>
          <w:shd w:val="clear" w:color="auto" w:fill="FFFFFF"/>
        </w:rPr>
        <w:t xml:space="preserve"> 信用评分记录认定后，协会应在10日内通知当事人。当事人对信用评分记录有异议的，可自通知发出之日起10日内向协会秘书处提出书面异议。经调查异议成立的</w:t>
      </w:r>
      <w:r>
        <w:rPr>
          <w:rFonts w:hint="eastAsia" w:ascii="Times New Roman" w:hAnsi="Times New Roman" w:eastAsia="仿宋"/>
          <w:kern w:val="0"/>
          <w:sz w:val="24"/>
          <w:szCs w:val="24"/>
          <w:shd w:val="clear" w:color="auto" w:fill="FFFFFF"/>
        </w:rPr>
        <w:t>，</w:t>
      </w:r>
      <w:r>
        <w:rPr>
          <w:rFonts w:ascii="Times New Roman" w:hAnsi="Times New Roman" w:eastAsia="仿宋"/>
          <w:kern w:val="0"/>
          <w:sz w:val="24"/>
          <w:szCs w:val="24"/>
          <w:shd w:val="clear" w:color="auto" w:fill="FFFFFF"/>
        </w:rPr>
        <w:t>应在10日内撤销当次信用评分记录。具体复议工作由自律委员会负责。</w:t>
      </w:r>
    </w:p>
    <w:p>
      <w:pPr>
        <w:widowControl/>
        <w:shd w:val="clear" w:color="auto" w:fill="FFFFFF"/>
        <w:spacing w:line="360" w:lineRule="auto"/>
        <w:ind w:firstLine="470" w:firstLineChars="196"/>
        <w:rPr>
          <w:rFonts w:ascii="Times New Roman" w:hAnsi="Times New Roman" w:eastAsia="仿宋"/>
          <w:kern w:val="0"/>
          <w:sz w:val="24"/>
          <w:szCs w:val="24"/>
          <w:shd w:val="clear" w:color="auto" w:fill="FFFFFF"/>
        </w:rPr>
      </w:pPr>
      <w:r>
        <w:rPr>
          <w:rFonts w:ascii="Times New Roman" w:hAnsi="Times New Roman" w:eastAsia="仿宋"/>
          <w:kern w:val="0"/>
          <w:sz w:val="24"/>
          <w:szCs w:val="24"/>
          <w:shd w:val="clear" w:color="auto" w:fill="FFFFFF"/>
        </w:rPr>
        <w:t>当事人在规定时间内未对信用评分记录提出异议或提出异议后经调查信用评分记录仍成立的，则信用评分记录生效。</w:t>
      </w:r>
    </w:p>
    <w:p>
      <w:pPr>
        <w:widowControl/>
        <w:shd w:val="clear" w:color="auto" w:fill="FFFFFF"/>
        <w:spacing w:line="360" w:lineRule="auto"/>
        <w:ind w:firstLine="481" w:firstLineChars="200"/>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第七条</w:t>
      </w:r>
      <w:r>
        <w:rPr>
          <w:rFonts w:ascii="Times New Roman" w:hAnsi="Times New Roman" w:eastAsia="仿宋"/>
          <w:kern w:val="0"/>
          <w:sz w:val="24"/>
          <w:szCs w:val="24"/>
          <w:shd w:val="clear" w:color="auto" w:fill="FFFFFF"/>
        </w:rPr>
        <w:t xml:space="preserve"> 会员应按要求及时、准确提供相关信息，并对其所提供信息的真实性负责。未按要求及时、准确提供相关信息，导致信用信息不全或错漏的，自行承担相关责任。</w:t>
      </w:r>
    </w:p>
    <w:p>
      <w:pPr>
        <w:widowControl/>
        <w:shd w:val="clear" w:color="auto" w:fill="FFFFFF"/>
        <w:spacing w:line="360" w:lineRule="auto"/>
        <w:jc w:val="center"/>
        <w:rPr>
          <w:rFonts w:ascii="Times New Roman" w:hAnsi="Times New Roman" w:eastAsia="仿宋"/>
          <w:b/>
          <w:kern w:val="0"/>
          <w:sz w:val="28"/>
          <w:szCs w:val="24"/>
          <w:shd w:val="clear" w:color="auto" w:fill="FFFFFF"/>
        </w:rPr>
      </w:pPr>
      <w:r>
        <w:rPr>
          <w:rFonts w:ascii="Times New Roman" w:hAnsi="Times New Roman" w:eastAsia="仿宋"/>
          <w:b/>
          <w:kern w:val="0"/>
          <w:sz w:val="28"/>
          <w:szCs w:val="24"/>
          <w:shd w:val="clear" w:color="auto" w:fill="FFFFFF"/>
        </w:rPr>
        <w:t>第三章 信用评分</w:t>
      </w:r>
    </w:p>
    <w:p>
      <w:pPr>
        <w:widowControl/>
        <w:shd w:val="clear" w:color="auto" w:fill="FFFFFF"/>
        <w:spacing w:line="360" w:lineRule="auto"/>
        <w:ind w:firstLine="472" w:firstLineChars="196"/>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 xml:space="preserve">第八条 </w:t>
      </w:r>
      <w:r>
        <w:rPr>
          <w:rFonts w:ascii="Times New Roman" w:hAnsi="Times New Roman" w:eastAsia="仿宋"/>
          <w:bCs/>
          <w:kern w:val="0"/>
          <w:sz w:val="24"/>
          <w:szCs w:val="24"/>
          <w:shd w:val="clear" w:color="auto" w:fill="FFFFFF"/>
        </w:rPr>
        <w:t>协会对会员的信用评分，采用累计积分、动态实时管理的模式。自信用评分评级工作实施之日起，信用评分执行过程中信用分值不设最高分限制，不进行年度重置。</w:t>
      </w:r>
    </w:p>
    <w:p>
      <w:pPr>
        <w:widowControl/>
        <w:shd w:val="clear" w:color="auto" w:fill="FFFFFF"/>
        <w:spacing w:line="360" w:lineRule="auto"/>
        <w:ind w:firstLine="470" w:firstLineChars="196"/>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信用评分公式：</w:t>
      </w:r>
      <w:r>
        <w:rPr>
          <w:rFonts w:ascii="Times New Roman" w:hAnsi="Times New Roman" w:eastAsia="仿宋"/>
          <w:bCs/>
          <w:sz w:val="24"/>
          <w:szCs w:val="24"/>
          <w:shd w:val="clear" w:color="auto" w:fill="FFFFFF"/>
        </w:rPr>
        <w:t>信用分值＝基础分值+良好行为加分值+不良行为减分值（负分）</w:t>
      </w:r>
    </w:p>
    <w:p>
      <w:pPr>
        <w:widowControl/>
        <w:shd w:val="clear" w:color="auto" w:fill="FFFFFF"/>
        <w:spacing w:line="360" w:lineRule="auto"/>
        <w:ind w:firstLine="470" w:firstLineChars="196"/>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注：信用评分基础分</w:t>
      </w:r>
      <w:r>
        <w:rPr>
          <w:rFonts w:ascii="Times New Roman" w:hAnsi="Times New Roman" w:eastAsia="仿宋"/>
          <w:bCs/>
          <w:sz w:val="24"/>
          <w:szCs w:val="24"/>
          <w:shd w:val="clear" w:color="auto" w:fill="FFFFFF"/>
        </w:rPr>
        <w:t>值</w:t>
      </w:r>
      <w:r>
        <w:rPr>
          <w:rFonts w:ascii="Times New Roman" w:hAnsi="Times New Roman" w:eastAsia="仿宋"/>
          <w:bCs/>
          <w:kern w:val="0"/>
          <w:sz w:val="24"/>
          <w:szCs w:val="24"/>
          <w:shd w:val="clear" w:color="auto" w:fill="FFFFFF"/>
        </w:rPr>
        <w:t>统一设定为70分。</w:t>
      </w:r>
    </w:p>
    <w:p>
      <w:pPr>
        <w:widowControl/>
        <w:shd w:val="clear" w:color="auto" w:fill="FFFFFF"/>
        <w:spacing w:line="360" w:lineRule="auto"/>
        <w:ind w:firstLine="472" w:firstLineChars="196"/>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第九条 </w:t>
      </w:r>
      <w:r>
        <w:rPr>
          <w:rFonts w:ascii="Times New Roman" w:hAnsi="Times New Roman" w:eastAsia="仿宋"/>
          <w:bCs/>
          <w:kern w:val="0"/>
          <w:sz w:val="24"/>
          <w:szCs w:val="24"/>
          <w:shd w:val="clear" w:color="auto" w:fill="FFFFFF"/>
        </w:rPr>
        <w:t>协会根据《广州市房地产中介信用评分指标》（下称：《信用评分指标》），对协会会员的</w:t>
      </w:r>
      <w:r>
        <w:rPr>
          <w:rFonts w:ascii="Times New Roman" w:hAnsi="Times New Roman" w:eastAsia="仿宋"/>
          <w:kern w:val="0"/>
          <w:sz w:val="24"/>
          <w:szCs w:val="24"/>
          <w:shd w:val="clear" w:color="auto" w:fill="FFFFFF"/>
        </w:rPr>
        <w:t>每一项良好行为或不良行为形成信用评分记录，并进行信用加分或减分。</w:t>
      </w:r>
    </w:p>
    <w:p>
      <w:pPr>
        <w:widowControl/>
        <w:shd w:val="clear" w:color="auto" w:fill="FFFFFF"/>
        <w:spacing w:line="360" w:lineRule="auto"/>
        <w:ind w:firstLine="472" w:firstLineChars="196"/>
        <w:rPr>
          <w:rFonts w:ascii="Times New Roman" w:hAnsi="Times New Roman" w:eastAsia="仿宋"/>
          <w:sz w:val="24"/>
          <w:szCs w:val="24"/>
          <w:shd w:val="clear" w:color="auto" w:fill="FFFFFF"/>
        </w:rPr>
      </w:pPr>
      <w:r>
        <w:rPr>
          <w:rFonts w:ascii="Times New Roman" w:hAnsi="Times New Roman" w:eastAsia="仿宋"/>
          <w:b/>
          <w:kern w:val="0"/>
          <w:sz w:val="24"/>
          <w:szCs w:val="24"/>
          <w:shd w:val="clear" w:color="auto" w:fill="FFFFFF"/>
        </w:rPr>
        <w:t xml:space="preserve">第十条 </w:t>
      </w:r>
      <w:r>
        <w:rPr>
          <w:rFonts w:ascii="Times New Roman" w:hAnsi="Times New Roman" w:eastAsia="仿宋"/>
          <w:kern w:val="0"/>
          <w:sz w:val="24"/>
          <w:szCs w:val="24"/>
          <w:shd w:val="clear" w:color="auto" w:fill="FFFFFF"/>
        </w:rPr>
        <w:t>信用评分</w:t>
      </w:r>
      <w:r>
        <w:rPr>
          <w:rFonts w:ascii="Times New Roman" w:hAnsi="Times New Roman" w:eastAsia="仿宋"/>
          <w:sz w:val="24"/>
          <w:szCs w:val="24"/>
          <w:shd w:val="clear" w:color="auto" w:fill="FFFFFF"/>
        </w:rPr>
        <w:t>指标分为良好行为评分指标和不良行为评分指标。</w:t>
      </w:r>
    </w:p>
    <w:p>
      <w:pPr>
        <w:widowControl/>
        <w:shd w:val="clear" w:color="auto" w:fill="FFFFFF"/>
        <w:spacing w:line="360" w:lineRule="auto"/>
        <w:ind w:firstLine="470" w:firstLineChars="196"/>
        <w:rPr>
          <w:rFonts w:ascii="Times New Roman" w:hAnsi="Times New Roman" w:eastAsia="仿宋"/>
          <w:kern w:val="0"/>
          <w:sz w:val="24"/>
          <w:szCs w:val="24"/>
          <w:shd w:val="clear" w:color="auto" w:fill="FFFFFF"/>
        </w:rPr>
      </w:pPr>
      <w:r>
        <w:rPr>
          <w:rFonts w:ascii="Times New Roman" w:hAnsi="Times New Roman" w:eastAsia="仿宋"/>
          <w:sz w:val="24"/>
          <w:szCs w:val="24"/>
          <w:shd w:val="clear" w:color="auto" w:fill="FFFFFF"/>
        </w:rPr>
        <w:t>评分指标根据良好行为的有益程度和不良行为的危害程度，分为A、B、C、D四个等级，其中良好行为的有益程度从A至D依次递减，不良行为的危害程度从A至D依次递减，具体如下：</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1"/>
        <w:gridCol w:w="1531"/>
        <w:gridCol w:w="1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imes New Roman" w:hAnsi="Times New Roman" w:eastAsia="黑体"/>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黑体"/>
                <w:sz w:val="24"/>
                <w:szCs w:val="24"/>
              </w:rPr>
            </w:pPr>
            <w:r>
              <w:rPr>
                <w:rFonts w:ascii="Times New Roman" w:hAnsi="Times New Roman" w:eastAsia="黑体"/>
                <w:sz w:val="24"/>
                <w:szCs w:val="24"/>
              </w:rPr>
              <w:t>等级</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黑体"/>
                <w:sz w:val="24"/>
                <w:szCs w:val="24"/>
              </w:rPr>
            </w:pPr>
            <w:r>
              <w:rPr>
                <w:rFonts w:ascii="Times New Roman" w:hAnsi="Times New Roman" w:eastAsia="黑体"/>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良好行为信用评分记录</w:t>
            </w: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A</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仿宋"/>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B</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0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仿宋"/>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C</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仿宋"/>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D</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不良行为信用评分记录</w:t>
            </w: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A</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仿宋"/>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B</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0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仿宋"/>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C</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仿宋"/>
                <w:sz w:val="24"/>
                <w:szCs w:val="24"/>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D</w:t>
            </w:r>
          </w:p>
        </w:tc>
        <w:tc>
          <w:tcPr>
            <w:tcW w:w="17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eastAsia="仿宋"/>
                <w:sz w:val="24"/>
                <w:szCs w:val="24"/>
              </w:rPr>
            </w:pPr>
            <w:r>
              <w:rPr>
                <w:rFonts w:ascii="Times New Roman" w:hAnsi="Times New Roman" w:eastAsia="仿宋"/>
                <w:sz w:val="24"/>
                <w:szCs w:val="24"/>
              </w:rPr>
              <w:t>-5</w:t>
            </w:r>
          </w:p>
        </w:tc>
      </w:tr>
    </w:tbl>
    <w:p>
      <w:pPr>
        <w:widowControl/>
        <w:shd w:val="clear" w:color="auto" w:fill="FFFFFF"/>
        <w:spacing w:line="360" w:lineRule="auto"/>
        <w:ind w:left="181" w:firstLine="480"/>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第十一条</w:t>
      </w:r>
      <w:r>
        <w:rPr>
          <w:rFonts w:ascii="Times New Roman" w:hAnsi="Times New Roman" w:eastAsia="仿宋"/>
          <w:bCs/>
          <w:kern w:val="0"/>
          <w:sz w:val="24"/>
          <w:szCs w:val="24"/>
          <w:shd w:val="clear" w:color="auto" w:fill="FFFFFF"/>
        </w:rPr>
        <w:t xml:space="preserve"> 信用评分记录的计分有效期原则上为12个月，如信用评分指标中有单独规定的按指标规定的执行。</w:t>
      </w:r>
    </w:p>
    <w:p>
      <w:pPr>
        <w:widowControl/>
        <w:shd w:val="clear" w:color="auto" w:fill="FFFFFF"/>
        <w:spacing w:line="360" w:lineRule="auto"/>
        <w:ind w:left="181" w:firstLine="480"/>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计分有效期起始时间以信用评分记录认定时间为准；如信用评分记录自身有效期结束时间早于办法所规定的计分有效期结束时间的，以信用评分记录自身有效期结束时间为准。</w:t>
      </w:r>
    </w:p>
    <w:p>
      <w:pPr>
        <w:spacing w:line="360" w:lineRule="auto"/>
        <w:ind w:firstLine="480" w:firstLineChars="200"/>
        <w:rPr>
          <w:rFonts w:ascii="Times New Roman" w:hAnsi="Times New Roman" w:eastAsia="仿宋"/>
          <w:sz w:val="24"/>
          <w:szCs w:val="24"/>
        </w:rPr>
      </w:pPr>
    </w:p>
    <w:p>
      <w:pPr>
        <w:widowControl/>
        <w:shd w:val="clear" w:color="auto" w:fill="FFFFFF"/>
        <w:spacing w:line="360" w:lineRule="auto"/>
        <w:jc w:val="center"/>
        <w:rPr>
          <w:rFonts w:ascii="Times New Roman" w:hAnsi="Times New Roman" w:eastAsia="仿宋"/>
          <w:b/>
          <w:kern w:val="0"/>
          <w:sz w:val="28"/>
          <w:szCs w:val="24"/>
          <w:shd w:val="clear" w:color="auto" w:fill="FFFFFF"/>
        </w:rPr>
      </w:pPr>
      <w:r>
        <w:rPr>
          <w:rFonts w:ascii="Times New Roman" w:hAnsi="Times New Roman" w:eastAsia="仿宋"/>
          <w:b/>
          <w:kern w:val="0"/>
          <w:sz w:val="28"/>
          <w:szCs w:val="24"/>
          <w:shd w:val="clear" w:color="auto" w:fill="FFFFFF"/>
        </w:rPr>
        <w:t>第四章 信用评级</w:t>
      </w:r>
    </w:p>
    <w:p>
      <w:pPr>
        <w:shd w:val="clear" w:color="auto" w:fill="FFFFFF"/>
        <w:spacing w:line="360" w:lineRule="auto"/>
        <w:ind w:firstLine="472" w:firstLineChars="196"/>
        <w:jc w:val="left"/>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第十二条 </w:t>
      </w:r>
      <w:r>
        <w:rPr>
          <w:rFonts w:ascii="Times New Roman" w:hAnsi="Times New Roman" w:eastAsia="仿宋"/>
          <w:bCs/>
          <w:kern w:val="0"/>
          <w:sz w:val="24"/>
          <w:szCs w:val="24"/>
          <w:shd w:val="clear" w:color="auto" w:fill="FFFFFF"/>
        </w:rPr>
        <w:t>协会对会员的</w:t>
      </w:r>
      <w:r>
        <w:rPr>
          <w:rFonts w:ascii="Times New Roman" w:hAnsi="Times New Roman" w:eastAsia="仿宋"/>
          <w:kern w:val="0"/>
          <w:sz w:val="24"/>
          <w:szCs w:val="24"/>
          <w:shd w:val="clear" w:color="auto" w:fill="FFFFFF"/>
        </w:rPr>
        <w:t>信用等级评定采用实时动态管理；</w:t>
      </w:r>
      <w:r>
        <w:rPr>
          <w:rFonts w:ascii="Times New Roman" w:hAnsi="Times New Roman" w:eastAsia="仿宋"/>
          <w:bCs/>
          <w:kern w:val="0"/>
          <w:sz w:val="24"/>
          <w:szCs w:val="24"/>
          <w:shd w:val="clear" w:color="auto" w:fill="FFFFFF"/>
        </w:rPr>
        <w:t>每年12月31日将会员的信用分值、信用等级的最终结果形成年度信用记录，并写入信用档案。</w:t>
      </w:r>
    </w:p>
    <w:p>
      <w:pPr>
        <w:shd w:val="clear" w:color="auto" w:fill="FFFFFF"/>
        <w:spacing w:line="360" w:lineRule="auto"/>
        <w:ind w:firstLine="472" w:firstLineChars="196"/>
        <w:jc w:val="left"/>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第十三条 </w:t>
      </w:r>
      <w:r>
        <w:rPr>
          <w:rFonts w:ascii="Times New Roman" w:hAnsi="Times New Roman" w:eastAsia="仿宋"/>
          <w:kern w:val="0"/>
          <w:sz w:val="24"/>
          <w:szCs w:val="24"/>
          <w:shd w:val="clear" w:color="auto" w:fill="FFFFFF"/>
        </w:rPr>
        <w:t>信用等级共分为优质、良好、诚信、暂定诚信、预警、失信等六个级别。</w:t>
      </w:r>
    </w:p>
    <w:p>
      <w:pPr>
        <w:shd w:val="clear" w:color="auto" w:fill="FFFFFF"/>
        <w:spacing w:line="360" w:lineRule="auto"/>
        <w:ind w:firstLine="470" w:firstLineChars="196"/>
        <w:jc w:val="left"/>
        <w:rPr>
          <w:rFonts w:ascii="Times New Roman" w:hAnsi="Times New Roman" w:eastAsia="仿宋"/>
          <w:kern w:val="0"/>
          <w:sz w:val="24"/>
          <w:szCs w:val="24"/>
          <w:shd w:val="clear" w:color="auto" w:fill="FFFFFF"/>
        </w:rPr>
      </w:pPr>
      <w:r>
        <w:rPr>
          <w:rFonts w:ascii="Times New Roman" w:hAnsi="Times New Roman" w:eastAsia="仿宋"/>
          <w:bCs/>
          <w:kern w:val="0"/>
          <w:sz w:val="24"/>
          <w:szCs w:val="24"/>
          <w:shd w:val="clear" w:color="auto" w:fill="FFFFFF"/>
        </w:rPr>
        <w:t>一、信用等级“优质”，须同时符合以下条件：</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1、信用评分95分以上；</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2、单位：依法设立且在行政主管部门连续备案满4年；</w:t>
      </w:r>
    </w:p>
    <w:p>
      <w:pPr>
        <w:widowControl/>
        <w:shd w:val="clear" w:color="auto" w:fill="FFFFFF"/>
        <w:spacing w:line="360" w:lineRule="auto"/>
        <w:ind w:left="1056" w:leftChars="503" w:firstLine="2"/>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个人：按规定办理从业登记手续，且连续从业满4年，且已取得协会颁发的《水平认证证书》并按时完成年度继续教育；</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3、过往3年的年终信用等级结果未被评为预警或失信；</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4、过往2年及当年未被行政主管部门通报批评或行政处罚。</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5、机构从业人员信用信息卡持卡率需达到80%以上。</w:t>
      </w:r>
    </w:p>
    <w:p>
      <w:pPr>
        <w:widowControl/>
        <w:shd w:val="clear" w:color="auto" w:fill="FFFFFF"/>
        <w:spacing w:line="360" w:lineRule="auto"/>
        <w:ind w:firstLine="480" w:firstLineChars="20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二、信用等级“良好”，须同时符合以下条件：</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1、信用评分90分以上；</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2、单位：依法设立且在行政主管部门连续备案满3年，且每年按时参加年检；</w:t>
      </w:r>
    </w:p>
    <w:p>
      <w:pPr>
        <w:widowControl/>
        <w:shd w:val="clear" w:color="auto" w:fill="FFFFFF"/>
        <w:spacing w:line="360" w:lineRule="auto"/>
        <w:ind w:left="1679" w:leftChars="314" w:hanging="1020" w:hangingChars="425"/>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 xml:space="preserve">   个人：按规定办理从业登记手续，并连续从业满2年，且已取得协会颁发的《水平认证证书》并按时完成年度继续教育；</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3、过往2年的年终信用等级结果未被评为预警或失信；</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4、过往2年及当年未被行政主管部门通报批评或行政处罚。</w:t>
      </w:r>
    </w:p>
    <w:p>
      <w:pPr>
        <w:widowControl/>
        <w:shd w:val="clear" w:color="auto" w:fill="FFFFFF"/>
        <w:spacing w:line="360" w:lineRule="auto"/>
        <w:ind w:left="181" w:firstLine="480"/>
        <w:jc w:val="left"/>
        <w:rPr>
          <w:rFonts w:ascii="Times New Roman" w:hAnsi="Times New Roman" w:eastAsia="仿宋"/>
          <w:sz w:val="24"/>
          <w:szCs w:val="24"/>
        </w:rPr>
      </w:pPr>
      <w:r>
        <w:rPr>
          <w:rFonts w:ascii="Times New Roman" w:hAnsi="Times New Roman" w:eastAsia="仿宋"/>
          <w:bCs/>
          <w:kern w:val="0"/>
          <w:sz w:val="24"/>
          <w:szCs w:val="24"/>
          <w:shd w:val="clear" w:color="auto" w:fill="FFFFFF"/>
        </w:rPr>
        <w:t>5、机构从业人员信用信息卡持卡率需达到80%以上。</w:t>
      </w:r>
    </w:p>
    <w:p>
      <w:pPr>
        <w:widowControl/>
        <w:shd w:val="clear" w:color="auto" w:fill="FFFFFF"/>
        <w:spacing w:line="360" w:lineRule="auto"/>
        <w:ind w:firstLine="480" w:firstLineChars="20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三、信用等级“诚信”，须同时符合以下条件：</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1、信用评分70分及以上；</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2、单位：依法设立且在行政主管部门办理备案满2年，且每年按时参加年检；</w:t>
      </w:r>
    </w:p>
    <w:p>
      <w:pPr>
        <w:widowControl/>
        <w:shd w:val="clear" w:color="auto" w:fill="FFFFFF"/>
        <w:spacing w:line="360" w:lineRule="auto"/>
        <w:ind w:left="1680" w:leftChars="448" w:hanging="739" w:hangingChars="308"/>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个人：按规定办理从业登记手续，且连续从业满2年。</w:t>
      </w:r>
    </w:p>
    <w:p>
      <w:pPr>
        <w:widowControl/>
        <w:shd w:val="clear" w:color="auto" w:fill="FFFFFF"/>
        <w:spacing w:line="360" w:lineRule="auto"/>
        <w:ind w:firstLine="480" w:firstLineChars="20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四、信用等级“暂定诚信”，须同时符合以下条件：</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1、信用评分70分及以上；</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2、单位：依法设立且在行政主管部门办理备案，但未满2年；</w:t>
      </w:r>
    </w:p>
    <w:p>
      <w:pPr>
        <w:widowControl/>
        <w:shd w:val="clear" w:color="auto" w:fill="FFFFFF"/>
        <w:spacing w:line="360" w:lineRule="auto"/>
        <w:ind w:left="2141" w:leftChars="448" w:hanging="1200" w:hangingChars="50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个人：按规定办理从业登记手续，但连续从业未满2年。</w:t>
      </w:r>
    </w:p>
    <w:p>
      <w:pPr>
        <w:widowControl/>
        <w:shd w:val="clear" w:color="auto" w:fill="FFFFFF"/>
        <w:spacing w:line="360" w:lineRule="auto"/>
        <w:ind w:firstLine="480" w:firstLineChars="20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五、有以下情形之一时，信用等级为“预警”：</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1、信用评分低于70分；</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2、当年出现经自律委员会认定应当直接列入“预警”等级情形的。</w:t>
      </w:r>
    </w:p>
    <w:p>
      <w:pPr>
        <w:widowControl/>
        <w:shd w:val="clear" w:color="auto" w:fill="FFFFFF"/>
        <w:spacing w:line="360" w:lineRule="auto"/>
        <w:ind w:firstLine="480" w:firstLineChars="20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六、有以下情形之一时，信用等级为“失信”：</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1、信用评分低于60分；</w:t>
      </w:r>
    </w:p>
    <w:p>
      <w:pPr>
        <w:widowControl/>
        <w:shd w:val="clear" w:color="auto" w:fill="FFFFFF"/>
        <w:spacing w:line="360" w:lineRule="auto"/>
        <w:ind w:left="181" w:firstLine="480"/>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2、当年出现经自律委员会认定应当直接列入“失信”等级的。</w:t>
      </w:r>
    </w:p>
    <w:p>
      <w:pPr>
        <w:widowControl/>
        <w:shd w:val="clear" w:color="auto" w:fill="FFFFFF"/>
        <w:spacing w:line="360" w:lineRule="auto"/>
        <w:ind w:firstLine="472" w:firstLineChars="196"/>
        <w:jc w:val="left"/>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 xml:space="preserve">第十四条 </w:t>
      </w:r>
      <w:r>
        <w:rPr>
          <w:rFonts w:ascii="Times New Roman" w:hAnsi="Times New Roman" w:eastAsia="仿宋"/>
          <w:bCs/>
          <w:kern w:val="0"/>
          <w:sz w:val="24"/>
          <w:szCs w:val="24"/>
          <w:shd w:val="clear" w:color="auto" w:fill="FFFFFF"/>
        </w:rPr>
        <w:t>有以下情形时，经理事会或自律委员会审议表决后，可对评价对象直接评定信用等级。</w:t>
      </w:r>
    </w:p>
    <w:p>
      <w:pPr>
        <w:widowControl/>
        <w:shd w:val="clear" w:color="auto" w:fill="FFFFFF"/>
        <w:spacing w:line="360" w:lineRule="auto"/>
        <w:ind w:firstLine="470" w:firstLineChars="196"/>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一、出现严重影响行业秩序等行为的；</w:t>
      </w:r>
    </w:p>
    <w:p>
      <w:pPr>
        <w:widowControl/>
        <w:shd w:val="clear" w:color="auto" w:fill="FFFFFF"/>
        <w:spacing w:line="360" w:lineRule="auto"/>
        <w:ind w:firstLine="470" w:firstLineChars="196"/>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二、出现严重损害行业口碑、形象等行为的；</w:t>
      </w:r>
    </w:p>
    <w:p>
      <w:pPr>
        <w:widowControl/>
        <w:shd w:val="clear" w:color="auto" w:fill="FFFFFF"/>
        <w:spacing w:line="360" w:lineRule="auto"/>
        <w:ind w:firstLine="470" w:firstLineChars="196"/>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三、一年内连续多次受到行政主管部门行政处罚的；</w:t>
      </w:r>
    </w:p>
    <w:p>
      <w:pPr>
        <w:widowControl/>
        <w:shd w:val="clear" w:color="auto" w:fill="FFFFFF"/>
        <w:spacing w:line="360" w:lineRule="auto"/>
        <w:ind w:firstLine="470" w:firstLineChars="196"/>
        <w:jc w:val="left"/>
        <w:rPr>
          <w:rFonts w:ascii="Times New Roman" w:hAnsi="Times New Roman" w:eastAsia="仿宋"/>
          <w:bCs/>
          <w:kern w:val="0"/>
          <w:sz w:val="24"/>
          <w:szCs w:val="24"/>
          <w:shd w:val="clear" w:color="auto" w:fill="FFFFFF"/>
        </w:rPr>
      </w:pPr>
      <w:r>
        <w:rPr>
          <w:rFonts w:ascii="Times New Roman" w:hAnsi="Times New Roman" w:eastAsia="仿宋"/>
          <w:bCs/>
          <w:kern w:val="0"/>
          <w:sz w:val="24"/>
          <w:szCs w:val="24"/>
          <w:shd w:val="clear" w:color="auto" w:fill="FFFFFF"/>
        </w:rPr>
        <w:t>四、其他认为有必要直接评定信用等级的。</w:t>
      </w:r>
    </w:p>
    <w:p>
      <w:pPr>
        <w:spacing w:line="360" w:lineRule="auto"/>
        <w:ind w:firstLine="560" w:firstLineChars="200"/>
        <w:rPr>
          <w:rFonts w:ascii="Times New Roman" w:hAnsi="Times New Roman" w:eastAsia="仿宋"/>
          <w:sz w:val="28"/>
          <w:szCs w:val="24"/>
        </w:rPr>
      </w:pPr>
    </w:p>
    <w:p>
      <w:pPr>
        <w:widowControl/>
        <w:shd w:val="clear" w:color="auto" w:fill="FFFFFF"/>
        <w:spacing w:line="360" w:lineRule="auto"/>
        <w:jc w:val="center"/>
        <w:rPr>
          <w:rFonts w:ascii="Times New Roman" w:hAnsi="Times New Roman" w:eastAsia="仿宋"/>
          <w:b/>
          <w:kern w:val="0"/>
          <w:sz w:val="28"/>
          <w:szCs w:val="24"/>
          <w:shd w:val="clear" w:color="auto" w:fill="FFFFFF"/>
        </w:rPr>
      </w:pPr>
      <w:r>
        <w:rPr>
          <w:rFonts w:ascii="Times New Roman" w:hAnsi="Times New Roman" w:eastAsia="仿宋"/>
          <w:b/>
          <w:kern w:val="0"/>
          <w:sz w:val="28"/>
          <w:szCs w:val="24"/>
          <w:shd w:val="clear" w:color="auto" w:fill="FFFFFF"/>
        </w:rPr>
        <w:t>第五章 查询与公示</w:t>
      </w:r>
    </w:p>
    <w:p>
      <w:pPr>
        <w:widowControl/>
        <w:shd w:val="clear" w:color="auto" w:fill="FFFFFF"/>
        <w:spacing w:line="360" w:lineRule="auto"/>
        <w:ind w:firstLine="472" w:firstLineChars="196"/>
        <w:rPr>
          <w:rFonts w:ascii="Times New Roman" w:hAnsi="Times New Roman" w:eastAsia="仿宋"/>
          <w:b/>
          <w:kern w:val="0"/>
          <w:sz w:val="24"/>
          <w:szCs w:val="24"/>
          <w:shd w:val="clear" w:color="auto" w:fill="FFFFFF"/>
        </w:rPr>
      </w:pPr>
      <w:r>
        <w:rPr>
          <w:rFonts w:ascii="Times New Roman" w:hAnsi="Times New Roman" w:eastAsia="仿宋"/>
          <w:b/>
          <w:kern w:val="0"/>
          <w:sz w:val="24"/>
          <w:szCs w:val="24"/>
          <w:shd w:val="clear" w:color="auto" w:fill="FFFFFF"/>
        </w:rPr>
        <w:t>第十五条</w:t>
      </w:r>
      <w:r>
        <w:rPr>
          <w:rFonts w:ascii="Times New Roman" w:hAnsi="Times New Roman" w:eastAsia="仿宋"/>
          <w:bCs/>
          <w:kern w:val="0"/>
          <w:sz w:val="24"/>
          <w:szCs w:val="24"/>
          <w:shd w:val="clear" w:color="auto" w:fill="FFFFFF"/>
        </w:rPr>
        <w:t xml:space="preserve"> 会员单位及从业人员的基本信息、信用评分、信用评级及信用评分记录等信用档案信息，统一通过协会网站、微信等渠道进行社会公示。社会公众可自行查询，确需协会对公示的信用信息予以书面证明的，应书面申请并说明原因。</w:t>
      </w:r>
    </w:p>
    <w:p>
      <w:pPr>
        <w:widowControl/>
        <w:shd w:val="clear" w:color="auto" w:fill="FFFFFF"/>
        <w:spacing w:line="360" w:lineRule="auto"/>
        <w:ind w:firstLine="472" w:firstLineChars="196"/>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第十六条 </w:t>
      </w:r>
      <w:r>
        <w:rPr>
          <w:rFonts w:ascii="Times New Roman" w:hAnsi="Times New Roman" w:eastAsia="仿宋"/>
          <w:kern w:val="0"/>
          <w:sz w:val="24"/>
          <w:szCs w:val="24"/>
          <w:shd w:val="clear" w:color="auto" w:fill="FFFFFF"/>
        </w:rPr>
        <w:t>信用评分记录的社会公示期统一设定为36个月，社会公示期的起始时间以信用评分记录认定时间为准。</w:t>
      </w:r>
    </w:p>
    <w:p>
      <w:pPr>
        <w:widowControl/>
        <w:shd w:val="clear" w:color="auto" w:fill="FFFFFF"/>
        <w:spacing w:line="360" w:lineRule="auto"/>
        <w:ind w:firstLine="470" w:firstLineChars="196"/>
        <w:rPr>
          <w:rFonts w:ascii="Times New Roman" w:hAnsi="Times New Roman" w:eastAsia="仿宋"/>
          <w:kern w:val="0"/>
          <w:sz w:val="24"/>
          <w:szCs w:val="24"/>
          <w:shd w:val="clear" w:color="auto" w:fill="FFFFFF"/>
        </w:rPr>
      </w:pPr>
      <w:r>
        <w:rPr>
          <w:rFonts w:ascii="Times New Roman" w:hAnsi="Times New Roman" w:eastAsia="仿宋"/>
          <w:kern w:val="0"/>
          <w:sz w:val="24"/>
          <w:szCs w:val="24"/>
          <w:shd w:val="clear" w:color="auto" w:fill="FFFFFF"/>
        </w:rPr>
        <w:t>信用评分记录社会公示期满后，转入历史资料在后台保存，如需查询的，可向协会提出书面申请</w:t>
      </w:r>
      <w:r>
        <w:rPr>
          <w:rFonts w:ascii="Times New Roman" w:hAnsi="Times New Roman" w:eastAsia="仿宋"/>
          <w:bCs/>
          <w:kern w:val="0"/>
          <w:sz w:val="24"/>
          <w:szCs w:val="24"/>
          <w:shd w:val="clear" w:color="auto" w:fill="FFFFFF"/>
        </w:rPr>
        <w:t>并说明原因</w:t>
      </w:r>
      <w:r>
        <w:rPr>
          <w:rFonts w:ascii="Times New Roman" w:hAnsi="Times New Roman" w:eastAsia="仿宋"/>
          <w:kern w:val="0"/>
          <w:sz w:val="24"/>
          <w:szCs w:val="24"/>
          <w:shd w:val="clear" w:color="auto" w:fill="FFFFFF"/>
        </w:rPr>
        <w:t>。</w:t>
      </w:r>
    </w:p>
    <w:p>
      <w:pPr>
        <w:widowControl/>
        <w:shd w:val="clear" w:color="auto" w:fill="FFFFFF"/>
        <w:spacing w:line="360" w:lineRule="auto"/>
        <w:ind w:firstLine="481" w:firstLineChars="200"/>
        <w:rPr>
          <w:rFonts w:ascii="Times New Roman" w:hAnsi="Times New Roman" w:eastAsia="仿宋"/>
          <w:sz w:val="24"/>
          <w:szCs w:val="24"/>
        </w:rPr>
      </w:pPr>
      <w:r>
        <w:rPr>
          <w:rFonts w:ascii="Times New Roman" w:hAnsi="Times New Roman" w:eastAsia="仿宋"/>
          <w:b/>
          <w:kern w:val="0"/>
          <w:sz w:val="24"/>
          <w:szCs w:val="24"/>
          <w:shd w:val="clear" w:color="auto" w:fill="FFFFFF"/>
        </w:rPr>
        <w:t>第十七条</w:t>
      </w:r>
      <w:r>
        <w:rPr>
          <w:rFonts w:ascii="Times New Roman" w:hAnsi="Times New Roman" w:eastAsia="仿宋"/>
          <w:bCs/>
          <w:kern w:val="0"/>
          <w:sz w:val="24"/>
          <w:szCs w:val="24"/>
          <w:shd w:val="clear" w:color="auto" w:fill="FFFFFF"/>
        </w:rPr>
        <w:t xml:space="preserve"> 协会可将相关信用评分、信用评级和信用评分记录提供至与协会签署《房地产中介行业协议不良行为名单互认备忘录》的其他城市的房地产中介行业协会进行公示。</w:t>
      </w:r>
    </w:p>
    <w:p>
      <w:pPr>
        <w:spacing w:line="360" w:lineRule="auto"/>
        <w:ind w:firstLine="560" w:firstLineChars="200"/>
        <w:rPr>
          <w:rFonts w:ascii="Times New Roman" w:hAnsi="Times New Roman" w:eastAsia="仿宋"/>
          <w:sz w:val="28"/>
          <w:szCs w:val="24"/>
        </w:rPr>
      </w:pPr>
    </w:p>
    <w:p>
      <w:pPr>
        <w:widowControl/>
        <w:shd w:val="clear" w:color="auto" w:fill="FFFFFF"/>
        <w:spacing w:line="360" w:lineRule="auto"/>
        <w:jc w:val="center"/>
        <w:rPr>
          <w:rFonts w:ascii="Times New Roman" w:hAnsi="Times New Roman" w:eastAsia="仿宋"/>
          <w:bCs/>
          <w:kern w:val="0"/>
          <w:sz w:val="28"/>
          <w:szCs w:val="24"/>
          <w:shd w:val="clear" w:color="auto" w:fill="FFFFFF"/>
        </w:rPr>
      </w:pPr>
      <w:r>
        <w:rPr>
          <w:rFonts w:ascii="Times New Roman" w:hAnsi="Times New Roman" w:eastAsia="仿宋"/>
          <w:b/>
          <w:kern w:val="0"/>
          <w:sz w:val="28"/>
          <w:szCs w:val="24"/>
          <w:shd w:val="clear" w:color="auto" w:fill="FFFFFF"/>
        </w:rPr>
        <w:t>第六章 附 则</w:t>
      </w:r>
    </w:p>
    <w:p>
      <w:pPr>
        <w:shd w:val="clear" w:color="auto" w:fill="FFFFFF"/>
        <w:spacing w:line="360" w:lineRule="auto"/>
        <w:ind w:firstLine="472" w:firstLineChars="196"/>
        <w:jc w:val="left"/>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 xml:space="preserve">第十八条 </w:t>
      </w:r>
      <w:r>
        <w:rPr>
          <w:rFonts w:ascii="Times New Roman" w:hAnsi="Times New Roman" w:eastAsia="仿宋"/>
          <w:bCs/>
          <w:kern w:val="0"/>
          <w:sz w:val="24"/>
          <w:szCs w:val="24"/>
          <w:shd w:val="clear" w:color="auto" w:fill="FFFFFF"/>
        </w:rPr>
        <w:t>本办法经协会理事会审议通过后发布实施。实施前本协会公布的相关文件与本办法不一致的，以本办法为准。</w:t>
      </w:r>
    </w:p>
    <w:p>
      <w:pPr>
        <w:shd w:val="clear" w:color="auto" w:fill="FFFFFF"/>
        <w:spacing w:line="360" w:lineRule="auto"/>
        <w:ind w:firstLine="472" w:firstLineChars="196"/>
        <w:jc w:val="left"/>
        <w:rPr>
          <w:rFonts w:ascii="Times New Roman" w:hAnsi="Times New Roman" w:eastAsia="仿宋"/>
          <w:bCs/>
          <w:kern w:val="0"/>
          <w:sz w:val="24"/>
          <w:szCs w:val="24"/>
          <w:shd w:val="clear" w:color="auto" w:fill="FFFFFF"/>
        </w:rPr>
      </w:pPr>
      <w:r>
        <w:rPr>
          <w:rFonts w:ascii="Times New Roman" w:hAnsi="Times New Roman" w:eastAsia="仿宋"/>
          <w:b/>
          <w:kern w:val="0"/>
          <w:sz w:val="24"/>
          <w:szCs w:val="24"/>
          <w:shd w:val="clear" w:color="auto" w:fill="FFFFFF"/>
        </w:rPr>
        <w:t xml:space="preserve">第十九条 </w:t>
      </w:r>
      <w:r>
        <w:rPr>
          <w:rFonts w:ascii="Times New Roman" w:hAnsi="Times New Roman" w:eastAsia="仿宋"/>
          <w:bCs/>
          <w:kern w:val="0"/>
          <w:sz w:val="24"/>
          <w:szCs w:val="24"/>
          <w:shd w:val="clear" w:color="auto" w:fill="FFFFFF"/>
        </w:rPr>
        <w:t>本办法的修订经协会理事会审议通过后生效。其中，《信用评分指标》的修改，经自律委员会审议通过后可立即实施，每年定期向理事会或会员代表大会报告修订情况。</w:t>
      </w:r>
    </w:p>
    <w:p>
      <w:pPr>
        <w:shd w:val="clear" w:color="auto" w:fill="FFFFFF"/>
        <w:spacing w:line="360" w:lineRule="auto"/>
        <w:ind w:firstLine="472" w:firstLineChars="196"/>
        <w:jc w:val="left"/>
        <w:rPr>
          <w:rFonts w:ascii="Times New Roman" w:hAnsi="Times New Roman" w:eastAsia="仿宋"/>
          <w:kern w:val="0"/>
          <w:sz w:val="24"/>
          <w:szCs w:val="24"/>
          <w:shd w:val="clear" w:color="auto" w:fill="FFFFFF"/>
        </w:rPr>
      </w:pPr>
      <w:r>
        <w:rPr>
          <w:rFonts w:ascii="Times New Roman" w:hAnsi="Times New Roman" w:eastAsia="仿宋"/>
          <w:b/>
          <w:kern w:val="0"/>
          <w:sz w:val="24"/>
          <w:szCs w:val="24"/>
          <w:shd w:val="clear" w:color="auto" w:fill="FFFFFF"/>
        </w:rPr>
        <w:t xml:space="preserve">第二十条 </w:t>
      </w:r>
      <w:r>
        <w:rPr>
          <w:rFonts w:ascii="Times New Roman" w:hAnsi="Times New Roman" w:eastAsia="仿宋"/>
          <w:kern w:val="0"/>
          <w:sz w:val="24"/>
          <w:szCs w:val="24"/>
          <w:shd w:val="clear" w:color="auto" w:fill="FFFFFF"/>
        </w:rPr>
        <w:t xml:space="preserve">本规则由协会负责解释、修订。 </w:t>
      </w:r>
    </w:p>
    <w:p>
      <w:pPr>
        <w:widowControl/>
        <w:shd w:val="clear" w:color="auto" w:fill="FFFFFF"/>
        <w:spacing w:line="360" w:lineRule="auto"/>
        <w:jc w:val="left"/>
        <w:rPr>
          <w:rFonts w:ascii="Times New Roman" w:hAnsi="Times New Roman" w:eastAsia="仿宋"/>
          <w:kern w:val="0"/>
          <w:sz w:val="24"/>
          <w:szCs w:val="24"/>
          <w:shd w:val="clear" w:color="auto" w:fill="FFFFFF"/>
        </w:rPr>
      </w:pPr>
    </w:p>
    <w:p>
      <w:pPr>
        <w:widowControl/>
        <w:shd w:val="clear" w:color="auto" w:fill="FFFFFF"/>
        <w:spacing w:line="360" w:lineRule="auto"/>
        <w:ind w:firstLine="600"/>
        <w:jc w:val="left"/>
        <w:rPr>
          <w:rFonts w:ascii="Times New Roman" w:hAnsi="Times New Roman" w:eastAsia="仿宋"/>
          <w:kern w:val="0"/>
          <w:sz w:val="24"/>
          <w:szCs w:val="24"/>
          <w:shd w:val="clear" w:color="auto" w:fill="FFFFFF"/>
        </w:rPr>
      </w:pPr>
    </w:p>
    <w:p>
      <w:pPr>
        <w:widowControl/>
        <w:shd w:val="clear" w:color="auto" w:fill="FFFFFF"/>
        <w:spacing w:line="360" w:lineRule="auto"/>
        <w:ind w:left="181"/>
        <w:jc w:val="right"/>
        <w:rPr>
          <w:rFonts w:ascii="Times New Roman" w:hAnsi="Times New Roman" w:eastAsia="仿宋_GB2312"/>
          <w:kern w:val="0"/>
          <w:sz w:val="24"/>
          <w:szCs w:val="28"/>
          <w:shd w:val="clear" w:color="auto" w:fill="FFFFFF"/>
        </w:rPr>
      </w:pPr>
      <w:r>
        <w:rPr>
          <w:rFonts w:ascii="Times New Roman" w:hAnsi="Times New Roman" w:eastAsia="仿宋"/>
          <w:kern w:val="0"/>
          <w:sz w:val="24"/>
          <w:szCs w:val="24"/>
          <w:shd w:val="clear" w:color="auto" w:fill="FFFFFF"/>
        </w:rPr>
        <w:t>广州市房地产中介协会</w:t>
      </w:r>
    </w:p>
    <w:p>
      <w:pPr>
        <w:pStyle w:val="26"/>
        <w:ind w:firstLine="0"/>
        <w:rPr>
          <w:rFonts w:hint="default"/>
          <w:color w:val="000000" w:themeColor="text1"/>
          <w:shd w:val="clear" w:color="auto" w:fill="FFFFFF"/>
          <w14:textFill>
            <w14:solidFill>
              <w14:schemeClr w14:val="tx1"/>
            </w14:solidFill>
          </w14:textFill>
        </w:rPr>
      </w:pPr>
      <w:r>
        <w:rPr>
          <w:rFonts w:hint="default"/>
          <w:color w:val="000000" w:themeColor="text1"/>
          <w:shd w:val="clear" w:color="auto" w:fill="FFFFFF"/>
          <w14:textFill>
            <w14:solidFill>
              <w14:schemeClr w14:val="tx1"/>
            </w14:solidFill>
          </w14:textFill>
        </w:rPr>
        <w:br w:type="page"/>
      </w:r>
    </w:p>
    <w:p>
      <w:pPr>
        <w:pStyle w:val="3"/>
        <w:spacing w:before="120" w:beforeLines="50" w:after="120" w:afterLines="50" w:line="360" w:lineRule="auto"/>
        <w:jc w:val="center"/>
        <w:rPr>
          <w:rFonts w:ascii="Times New Roman" w:hAnsi="Times New Roman" w:eastAsia="黑体" w:cs="Times New Roman"/>
          <w:color w:val="000000" w:themeColor="text1"/>
          <w14:textFill>
            <w14:solidFill>
              <w14:schemeClr w14:val="tx1"/>
            </w14:solidFill>
          </w14:textFill>
        </w:rPr>
      </w:pPr>
      <w:bookmarkStart w:id="289" w:name="_Toc64643537"/>
      <w:bookmarkStart w:id="290" w:name="_Toc98168337"/>
      <w:bookmarkStart w:id="291" w:name="_Toc129785122"/>
      <w:r>
        <w:rPr>
          <w:rFonts w:ascii="Times New Roman" w:hAnsi="Times New Roman" w:eastAsia="黑体" w:cs="Times New Roman"/>
          <w:color w:val="000000" w:themeColor="text1"/>
          <w14:textFill>
            <w14:solidFill>
              <w14:schemeClr w14:val="tx1"/>
            </w14:solidFill>
          </w14:textFill>
        </w:rPr>
        <w:t>3.广州市房地产中介信用评分指标</w:t>
      </w:r>
      <w:bookmarkEnd w:id="289"/>
      <w:bookmarkEnd w:id="290"/>
      <w:r>
        <w:rPr>
          <w:rFonts w:hint="eastAsia" w:ascii="Times New Roman" w:hAnsi="Times New Roman" w:eastAsia="黑体" w:cs="Times New Roman"/>
          <w:color w:val="000000" w:themeColor="text1"/>
          <w14:textFill>
            <w14:solidFill>
              <w14:schemeClr w14:val="tx1"/>
            </w14:solidFill>
          </w14:textFill>
        </w:rPr>
        <w:t>（2022年修订版）</w:t>
      </w:r>
      <w:bookmarkEnd w:id="291"/>
    </w:p>
    <w:p>
      <w:pPr>
        <w:pStyle w:val="17"/>
        <w:spacing w:beforeAutospacing="0" w:afterAutospacing="0" w:line="360" w:lineRule="auto"/>
        <w:ind w:firstLine="472" w:firstLineChars="196"/>
        <w:rPr>
          <w:rFonts w:ascii="Times New Roman" w:hAnsi="Times New Roman" w:eastAsia="黑体" w:cs="Times New Roman"/>
          <w:b/>
          <w:szCs w:val="28"/>
        </w:rPr>
      </w:pPr>
      <w:r>
        <w:rPr>
          <w:rFonts w:ascii="Times New Roman" w:hAnsi="Times New Roman" w:eastAsia="黑体" w:cs="Times New Roman"/>
          <w:b/>
          <w:szCs w:val="28"/>
        </w:rPr>
        <w:t>一、总体说明</w:t>
      </w:r>
    </w:p>
    <w:p>
      <w:pPr>
        <w:pStyle w:val="17"/>
        <w:spacing w:beforeAutospacing="0" w:afterAutospacing="0" w:line="360" w:lineRule="auto"/>
        <w:ind w:firstLine="480" w:firstLineChars="200"/>
        <w:rPr>
          <w:rFonts w:ascii="Times New Roman" w:hAnsi="Times New Roman" w:eastAsia="仿宋" w:cs="Times New Roman"/>
          <w:szCs w:val="28"/>
        </w:rPr>
      </w:pPr>
      <w:r>
        <w:rPr>
          <w:rFonts w:ascii="Times New Roman" w:hAnsi="Times New Roman" w:eastAsia="仿宋" w:cs="Times New Roman"/>
          <w:szCs w:val="28"/>
        </w:rPr>
        <w:t>现根据《广州市房地产中介信用管理暂行规定》、《房地产经纪管理办法》、《广州市房地产中介服务管理条例》、《广州市房屋交易监督管理办法》、《广州市房屋租赁管理规定》、《广州市存量房网上交易规则》、《广州市房屋租赁合同网上备案规则》等有关法律法规，以及《房地产经纪执业规则》、《广州市房地产中介</w:t>
      </w:r>
      <w:r>
        <w:rPr>
          <w:rFonts w:ascii="Times New Roman" w:hAnsi="Times New Roman" w:eastAsia="仿宋" w:cs="Times New Roman"/>
        </w:rPr>
        <w:t>行业执业规范</w:t>
      </w:r>
      <w:r>
        <w:rPr>
          <w:rFonts w:ascii="Times New Roman" w:hAnsi="Times New Roman" w:eastAsia="仿宋" w:cs="Times New Roman"/>
          <w:szCs w:val="28"/>
        </w:rPr>
        <w:t>》、《广州市房地产中介行业自律公约》等行业自律规范，制定本评分指标。</w:t>
      </w:r>
    </w:p>
    <w:p>
      <w:pPr>
        <w:pStyle w:val="17"/>
        <w:spacing w:beforeAutospacing="0" w:afterAutospacing="0" w:line="360" w:lineRule="auto"/>
        <w:ind w:firstLine="481" w:firstLineChars="200"/>
        <w:rPr>
          <w:rFonts w:ascii="Times New Roman" w:hAnsi="Times New Roman" w:eastAsia="仿宋_GB2312" w:cs="Times New Roman"/>
          <w:b/>
          <w:szCs w:val="28"/>
        </w:rPr>
      </w:pPr>
    </w:p>
    <w:p>
      <w:pPr>
        <w:pStyle w:val="17"/>
        <w:spacing w:beforeAutospacing="0" w:afterAutospacing="0" w:line="360" w:lineRule="auto"/>
        <w:rPr>
          <w:rFonts w:ascii="Times New Roman" w:hAnsi="Times New Roman" w:eastAsia="仿宋" w:cs="Times New Roman"/>
          <w:b/>
        </w:rPr>
      </w:pPr>
      <w:r>
        <w:rPr>
          <w:rFonts w:ascii="Times New Roman" w:hAnsi="Times New Roman" w:eastAsia="仿宋" w:cs="Times New Roman"/>
          <w:b/>
        </w:rPr>
        <w:t>（一）评分指标分类</w:t>
      </w:r>
    </w:p>
    <w:p>
      <w:pPr>
        <w:pStyle w:val="17"/>
        <w:spacing w:beforeAutospacing="0" w:afterAutospacing="0" w:line="360" w:lineRule="auto"/>
        <w:ind w:firstLine="549"/>
        <w:rPr>
          <w:rFonts w:ascii="Times New Roman" w:hAnsi="Times New Roman" w:eastAsia="仿宋" w:cs="Times New Roman"/>
        </w:rPr>
      </w:pPr>
      <w:r>
        <w:rPr>
          <w:rFonts w:ascii="Times New Roman" w:hAnsi="Times New Roman" w:eastAsia="仿宋" w:cs="Times New Roman"/>
        </w:rPr>
        <w:t>评分指标分为：良好行为评分指标和不良行为评分指标。评分指标根据良好行为的有益程度和不良行为的危害程度，分为A、B、C、D四个等级。</w:t>
      </w:r>
    </w:p>
    <w:tbl>
      <w:tblPr>
        <w:tblStyle w:val="19"/>
        <w:tblW w:w="7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1512"/>
        <w:gridCol w:w="1559"/>
        <w:gridCol w:w="155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tcPr>
          <w:p>
            <w:pPr>
              <w:pStyle w:val="17"/>
              <w:spacing w:beforeAutospacing="0" w:afterAutospacing="0" w:line="360" w:lineRule="auto"/>
              <w:rPr>
                <w:rFonts w:ascii="Times New Roman" w:hAnsi="Times New Roman" w:eastAsia="仿宋" w:cs="Times New Roman"/>
                <w:b/>
              </w:rPr>
            </w:pPr>
          </w:p>
        </w:tc>
        <w:tc>
          <w:tcPr>
            <w:tcW w:w="1512" w:type="dxa"/>
          </w:tcPr>
          <w:p>
            <w:pPr>
              <w:pStyle w:val="17"/>
              <w:spacing w:beforeAutospacing="0" w:afterAutospacing="0" w:line="360" w:lineRule="auto"/>
              <w:jc w:val="center"/>
              <w:rPr>
                <w:rFonts w:ascii="Times New Roman" w:hAnsi="Times New Roman" w:eastAsia="仿宋" w:cs="Times New Roman"/>
                <w:b/>
              </w:rPr>
            </w:pPr>
            <w:r>
              <w:rPr>
                <w:rFonts w:ascii="Times New Roman" w:hAnsi="Times New Roman" w:eastAsia="仿宋" w:cs="Times New Roman"/>
                <w:b/>
              </w:rPr>
              <w:t>A</w:t>
            </w:r>
          </w:p>
        </w:tc>
        <w:tc>
          <w:tcPr>
            <w:tcW w:w="1559" w:type="dxa"/>
          </w:tcPr>
          <w:p>
            <w:pPr>
              <w:pStyle w:val="17"/>
              <w:spacing w:beforeAutospacing="0" w:afterAutospacing="0" w:line="360" w:lineRule="auto"/>
              <w:jc w:val="center"/>
              <w:rPr>
                <w:rFonts w:ascii="Times New Roman" w:hAnsi="Times New Roman" w:eastAsia="仿宋" w:cs="Times New Roman"/>
                <w:b/>
              </w:rPr>
            </w:pPr>
            <w:r>
              <w:rPr>
                <w:rFonts w:ascii="Times New Roman" w:hAnsi="Times New Roman" w:eastAsia="仿宋" w:cs="Times New Roman"/>
                <w:b/>
              </w:rPr>
              <w:t>B</w:t>
            </w:r>
          </w:p>
        </w:tc>
        <w:tc>
          <w:tcPr>
            <w:tcW w:w="1559" w:type="dxa"/>
          </w:tcPr>
          <w:p>
            <w:pPr>
              <w:pStyle w:val="17"/>
              <w:spacing w:beforeAutospacing="0" w:afterAutospacing="0" w:line="360" w:lineRule="auto"/>
              <w:jc w:val="center"/>
              <w:rPr>
                <w:rFonts w:ascii="Times New Roman" w:hAnsi="Times New Roman" w:eastAsia="仿宋" w:cs="Times New Roman"/>
                <w:b/>
              </w:rPr>
            </w:pPr>
            <w:r>
              <w:rPr>
                <w:rFonts w:ascii="Times New Roman" w:hAnsi="Times New Roman" w:eastAsia="仿宋" w:cs="Times New Roman"/>
                <w:b/>
              </w:rPr>
              <w:t>C</w:t>
            </w:r>
          </w:p>
        </w:tc>
        <w:tc>
          <w:tcPr>
            <w:tcW w:w="1559" w:type="dxa"/>
          </w:tcPr>
          <w:p>
            <w:pPr>
              <w:pStyle w:val="17"/>
              <w:spacing w:beforeAutospacing="0" w:afterAutospacing="0" w:line="360" w:lineRule="auto"/>
              <w:jc w:val="center"/>
              <w:rPr>
                <w:rFonts w:ascii="Times New Roman" w:hAnsi="Times New Roman" w:eastAsia="仿宋" w:cs="Times New Roman"/>
                <w:b/>
              </w:rPr>
            </w:pPr>
            <w:r>
              <w:rPr>
                <w:rFonts w:ascii="Times New Roman" w:hAnsi="Times New Roman" w:eastAsia="仿宋" w:cs="Times New Roman"/>
                <w:b/>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良好行为</w:t>
            </w:r>
          </w:p>
        </w:tc>
        <w:tc>
          <w:tcPr>
            <w:tcW w:w="1512"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12</w:t>
            </w:r>
          </w:p>
        </w:tc>
        <w:tc>
          <w:tcPr>
            <w:tcW w:w="1559"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8</w:t>
            </w:r>
          </w:p>
        </w:tc>
        <w:tc>
          <w:tcPr>
            <w:tcW w:w="1559"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5</w:t>
            </w:r>
          </w:p>
        </w:tc>
        <w:tc>
          <w:tcPr>
            <w:tcW w:w="1559"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不良行为</w:t>
            </w:r>
          </w:p>
        </w:tc>
        <w:tc>
          <w:tcPr>
            <w:tcW w:w="1512"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-20</w:t>
            </w:r>
          </w:p>
        </w:tc>
        <w:tc>
          <w:tcPr>
            <w:tcW w:w="1559"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-15</w:t>
            </w:r>
          </w:p>
        </w:tc>
        <w:tc>
          <w:tcPr>
            <w:tcW w:w="1559"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-10</w:t>
            </w:r>
          </w:p>
        </w:tc>
        <w:tc>
          <w:tcPr>
            <w:tcW w:w="1559" w:type="dxa"/>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rPr>
              <w:t>-5</w:t>
            </w:r>
          </w:p>
        </w:tc>
      </w:tr>
    </w:tbl>
    <w:p>
      <w:pPr>
        <w:pStyle w:val="17"/>
        <w:spacing w:beforeAutospacing="0" w:afterAutospacing="0" w:line="360" w:lineRule="auto"/>
        <w:rPr>
          <w:rFonts w:ascii="Times New Roman" w:hAnsi="Times New Roman" w:eastAsia="仿宋" w:cs="Times New Roman"/>
          <w:b/>
        </w:rPr>
      </w:pPr>
    </w:p>
    <w:p>
      <w:pPr>
        <w:pStyle w:val="17"/>
        <w:spacing w:beforeAutospacing="0" w:afterAutospacing="0" w:line="360" w:lineRule="auto"/>
        <w:rPr>
          <w:rFonts w:ascii="Times New Roman" w:hAnsi="Times New Roman" w:eastAsia="仿宋" w:cs="Times New Roman"/>
          <w:b/>
        </w:rPr>
      </w:pPr>
      <w:r>
        <w:rPr>
          <w:rFonts w:ascii="Times New Roman" w:hAnsi="Times New Roman" w:eastAsia="仿宋" w:cs="Times New Roman"/>
          <w:b/>
        </w:rPr>
        <w:t>（二）信用评分公式</w:t>
      </w:r>
    </w:p>
    <w:p>
      <w:pPr>
        <w:pStyle w:val="17"/>
        <w:spacing w:beforeAutospacing="0" w:afterAutospacing="0" w:line="360" w:lineRule="auto"/>
        <w:ind w:firstLine="480" w:firstLineChars="200"/>
        <w:rPr>
          <w:rFonts w:ascii="Times New Roman" w:hAnsi="Times New Roman" w:eastAsia="仿宋" w:cs="Times New Roman"/>
        </w:rPr>
      </w:pPr>
      <w:r>
        <w:rPr>
          <w:rFonts w:ascii="Times New Roman" w:hAnsi="Times New Roman" w:eastAsia="仿宋" w:cs="Times New Roman"/>
        </w:rPr>
        <w:t>信用分</w:t>
      </w:r>
      <w:r>
        <w:rPr>
          <w:rFonts w:ascii="Times New Roman" w:hAnsi="Times New Roman" w:eastAsia="仿宋" w:cs="Times New Roman"/>
          <w:bCs/>
        </w:rPr>
        <w:t>值</w:t>
      </w:r>
      <w:r>
        <w:rPr>
          <w:rFonts w:ascii="Times New Roman" w:hAnsi="Times New Roman" w:eastAsia="仿宋" w:cs="Times New Roman"/>
        </w:rPr>
        <w:t>＝ 基础分</w:t>
      </w:r>
      <w:r>
        <w:rPr>
          <w:rFonts w:ascii="Times New Roman" w:hAnsi="Times New Roman" w:eastAsia="仿宋" w:cs="Times New Roman"/>
          <w:bCs/>
        </w:rPr>
        <w:t>值</w:t>
      </w:r>
      <w:r>
        <w:rPr>
          <w:rFonts w:ascii="Times New Roman" w:hAnsi="Times New Roman" w:eastAsia="仿宋" w:cs="Times New Roman"/>
        </w:rPr>
        <w:t xml:space="preserve"> + 良好行为加分值 + 不良行为减分值（负分）</w:t>
      </w:r>
    </w:p>
    <w:p>
      <w:pPr>
        <w:pStyle w:val="17"/>
        <w:spacing w:beforeAutospacing="0" w:afterAutospacing="0" w:line="360" w:lineRule="auto"/>
        <w:ind w:firstLine="470" w:firstLineChars="196"/>
        <w:rPr>
          <w:rFonts w:ascii="Times New Roman" w:hAnsi="Times New Roman" w:eastAsia="仿宋" w:cs="Times New Roman"/>
        </w:rPr>
      </w:pPr>
      <w:r>
        <w:rPr>
          <w:rFonts w:ascii="Times New Roman" w:hAnsi="Times New Roman" w:eastAsia="仿宋" w:cs="Times New Roman"/>
        </w:rPr>
        <w:t>信用分</w:t>
      </w:r>
      <w:r>
        <w:rPr>
          <w:rFonts w:ascii="Times New Roman" w:hAnsi="Times New Roman" w:eastAsia="仿宋" w:cs="Times New Roman"/>
          <w:bCs/>
        </w:rPr>
        <w:t>值</w:t>
      </w:r>
      <w:r>
        <w:rPr>
          <w:rFonts w:ascii="Times New Roman" w:hAnsi="Times New Roman" w:eastAsia="仿宋" w:cs="Times New Roman"/>
        </w:rPr>
        <w:t>不重置，新设立企业或新取得业务水平认证的个人会员首次信用评分的基础分为70分。</w:t>
      </w:r>
    </w:p>
    <w:p>
      <w:pPr>
        <w:pStyle w:val="17"/>
        <w:spacing w:beforeAutospacing="0" w:afterAutospacing="0" w:line="360" w:lineRule="auto"/>
        <w:ind w:firstLine="470" w:firstLineChars="196"/>
        <w:rPr>
          <w:rFonts w:ascii="Times New Roman" w:hAnsi="Times New Roman" w:eastAsia="仿宋_GB2312" w:cs="Times New Roman"/>
        </w:rPr>
      </w:pPr>
    </w:p>
    <w:p>
      <w:pPr>
        <w:pStyle w:val="17"/>
        <w:spacing w:beforeAutospacing="0" w:afterAutospacing="0" w:line="360" w:lineRule="auto"/>
        <w:ind w:firstLine="550" w:firstLineChars="196"/>
        <w:rPr>
          <w:rFonts w:ascii="Times New Roman" w:hAnsi="Times New Roman" w:eastAsia="黑体" w:cs="Times New Roman"/>
          <w:b/>
          <w:sz w:val="28"/>
          <w:szCs w:val="28"/>
        </w:rPr>
      </w:pPr>
      <w:r>
        <w:rPr>
          <w:rFonts w:ascii="Times New Roman" w:hAnsi="Times New Roman" w:eastAsia="黑体" w:cs="Times New Roman"/>
          <w:b/>
          <w:sz w:val="28"/>
          <w:szCs w:val="28"/>
        </w:rPr>
        <w:t>名词术语</w:t>
      </w:r>
    </w:p>
    <w:tbl>
      <w:tblPr>
        <w:tblStyle w:val="19"/>
        <w:tblW w:w="8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6274"/>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黑体" w:cs="Times New Roman"/>
                <w:b/>
                <w:bCs/>
                <w:szCs w:val="28"/>
              </w:rPr>
            </w:pPr>
            <w:r>
              <w:rPr>
                <w:rFonts w:ascii="Times New Roman" w:hAnsi="Times New Roman" w:eastAsia="黑体" w:cs="Times New Roman"/>
                <w:b/>
                <w:bCs/>
                <w:szCs w:val="28"/>
              </w:rPr>
              <w:t>序号</w:t>
            </w:r>
          </w:p>
        </w:tc>
        <w:tc>
          <w:tcPr>
            <w:tcW w:w="6274" w:type="dxa"/>
            <w:shd w:val="clear" w:color="auto" w:fill="auto"/>
            <w:vAlign w:val="center"/>
          </w:tcPr>
          <w:p>
            <w:pPr>
              <w:pStyle w:val="17"/>
              <w:spacing w:beforeAutospacing="0" w:afterAutospacing="0" w:line="360" w:lineRule="auto"/>
              <w:jc w:val="center"/>
              <w:rPr>
                <w:rFonts w:ascii="Times New Roman" w:hAnsi="Times New Roman" w:eastAsia="黑体" w:cs="Times New Roman"/>
                <w:b/>
                <w:bCs/>
                <w:szCs w:val="28"/>
              </w:rPr>
            </w:pPr>
            <w:r>
              <w:rPr>
                <w:rFonts w:ascii="Times New Roman" w:hAnsi="Times New Roman" w:eastAsia="黑体" w:cs="Times New Roman"/>
                <w:b/>
                <w:bCs/>
                <w:szCs w:val="28"/>
              </w:rPr>
              <w:t>名  称</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黑体" w:cs="Times New Roman"/>
                <w:b/>
                <w:bCs/>
                <w:szCs w:val="28"/>
              </w:rPr>
            </w:pPr>
            <w:r>
              <w:rPr>
                <w:rFonts w:ascii="Times New Roman" w:hAnsi="Times New Roman" w:eastAsia="黑体" w:cs="Times New Roman"/>
                <w:b/>
                <w:bCs/>
                <w:szCs w:val="28"/>
              </w:rPr>
              <w:t>简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1</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《广州市房地产中介服务管理条例》</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szCs w:val="28"/>
              </w:rPr>
              <w:t>（2002年7月17日广州市第十一届人民代表大会常务委员会第三十四次会议通过　2002年10月13日广东省第九届人民代表大会常务委员会第三十七次会议批准。）</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《中介条例》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2</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《广州市房屋交易监督管理办法》</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szCs w:val="28"/>
              </w:rPr>
              <w:t>（2021年11月2日市人民政府第15届160次常务会议通过，现予公布，自2021年12月20日起施行。）</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《监管办法》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3</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《房地产经纪管理办法》</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szCs w:val="28"/>
              </w:rPr>
              <w:t>(2011年1月20日住房和城乡建设部、国家发展和改革委员会、人力资源部令第8号发布　根据2016年3月1日中华人民共和国住房和城乡建设部、中华人民共和国国家发展和改革委员会、中华人民共和国人力资源和社会保障部令第29号《住房城乡建设部、国家发展改革委、人力资源社会保障部关于修改〈房地产经纪管理办法〉的决定》修正。）</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《经纪办法》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4</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《广州市存量房网上交易规则》</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rPr>
              <w:t>（2020年4月1日广州市住房和城乡建设局关于发布广州市存量房网上交易规则的通知（建规字〔2020〕36号），2020年4月3日起实施。）</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《网签规则》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5</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《广州市房屋租赁管理规定》</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szCs w:val="28"/>
              </w:rPr>
              <w:t>（2020年6月30日广州市第十五届人民代表大会常务委员会第三十八次会议通过，2020年7月29日广东省第十三届人民代表大会常务委员会第二十二次会议批准。）</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《租赁规定》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6</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《广州市房屋租赁合同网上备案规则》</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rPr>
              <w:t>（2020年2月12日由广州市住房和城乡建设局关于修订广州市房屋租赁合同网上备案规则的通知（穗建规字〔2020〕11号），自2020年3月1日起施行。）</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《租赁规则》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7</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《广州市住房租赁标准》</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szCs w:val="28"/>
              </w:rPr>
              <w:t>（2017年10月30日由广州市住房城乡建设委、市公安局、市来穗人员服务管理局联合颁布。）</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rPr>
            </w:pPr>
            <w:r>
              <w:rPr>
                <w:rFonts w:ascii="Times New Roman" w:hAnsi="Times New Roman" w:eastAsia="仿宋" w:cs="Times New Roman"/>
                <w:szCs w:val="28"/>
              </w:rPr>
              <w:t>《租赁标准》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8</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《房地产经纪执业规则》</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szCs w:val="28"/>
              </w:rPr>
              <w:t>（2006年10月31日由中国房地产估价师与房地产经纪人学会发布，2007年1月1日起实施；2013年3月1日修订。）</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《执业规则》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9</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《广州市房地产中介业务水平认证管理办法》</w:t>
            </w:r>
          </w:p>
          <w:p>
            <w:pPr>
              <w:pStyle w:val="17"/>
              <w:spacing w:beforeAutospacing="0" w:afterAutospacing="0" w:line="360" w:lineRule="auto"/>
              <w:rPr>
                <w:rFonts w:ascii="Times New Roman" w:hAnsi="Times New Roman" w:eastAsia="仿宋" w:cs="Times New Roman"/>
                <w:szCs w:val="28"/>
              </w:rPr>
            </w:pPr>
            <w:r>
              <w:rPr>
                <w:rFonts w:ascii="Times New Roman" w:hAnsi="Times New Roman" w:eastAsia="仿宋" w:cs="Times New Roman"/>
              </w:rPr>
              <w:t>（2016年9月由广州市房地产中介协会发布实施，2018年6月4日第一次修订；2019年1月28日第二次修订。）</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《认证办法》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10</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广州市房地产中介信用管理系统</w:t>
            </w:r>
          </w:p>
          <w:p>
            <w:pPr>
              <w:pStyle w:val="17"/>
              <w:spacing w:beforeAutospacing="0" w:afterAutospacing="0" w:line="360" w:lineRule="auto"/>
              <w:rPr>
                <w:rFonts w:ascii="Times New Roman" w:hAnsi="Times New Roman" w:eastAsia="仿宋" w:cs="Times New Roman"/>
                <w:bCs/>
                <w:szCs w:val="28"/>
              </w:rPr>
            </w:pPr>
            <w:r>
              <w:rPr>
                <w:rFonts w:ascii="Times New Roman" w:hAnsi="Times New Roman" w:eastAsia="仿宋" w:cs="Times New Roman"/>
                <w:bCs/>
                <w:szCs w:val="28"/>
              </w:rPr>
              <w:t>广州市住房和城乡建设委员会2018年投入使用。</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中介信用系统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11</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广州市房地产中介业务水平认证</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业务水平认证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12</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szCs w:val="28"/>
              </w:rPr>
            </w:pPr>
            <w:r>
              <w:rPr>
                <w:rFonts w:ascii="Times New Roman" w:hAnsi="Times New Roman" w:eastAsia="仿宋" w:cs="Times New Roman"/>
                <w:b/>
                <w:bCs/>
                <w:szCs w:val="28"/>
              </w:rPr>
              <w:t>《商品房销售管理办法》</w:t>
            </w:r>
          </w:p>
          <w:p>
            <w:pPr>
              <w:pStyle w:val="17"/>
              <w:spacing w:beforeAutospacing="0" w:afterAutospacing="0" w:line="360" w:lineRule="auto"/>
              <w:rPr>
                <w:rFonts w:ascii="Times New Roman" w:hAnsi="Times New Roman" w:eastAsia="仿宋" w:cs="Times New Roman"/>
                <w:color w:val="000000"/>
                <w:sz w:val="28"/>
                <w:szCs w:val="28"/>
                <w:shd w:val="clear" w:color="auto" w:fill="FFFFFF"/>
              </w:rPr>
            </w:pPr>
            <w:r>
              <w:rPr>
                <w:rFonts w:ascii="Times New Roman" w:hAnsi="Times New Roman" w:eastAsia="仿宋" w:cs="Times New Roman"/>
              </w:rPr>
              <w:t>(《办法》已于2001年3月14日经建设部第38次部常务会议审议通过，自2001年6月1日起施行。)</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《销售办法》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5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13</w:t>
            </w:r>
          </w:p>
        </w:tc>
        <w:tc>
          <w:tcPr>
            <w:tcW w:w="6274" w:type="dxa"/>
            <w:shd w:val="clear" w:color="auto" w:fill="auto"/>
            <w:vAlign w:val="center"/>
          </w:tcPr>
          <w:p>
            <w:pPr>
              <w:pStyle w:val="17"/>
              <w:spacing w:beforeAutospacing="0" w:afterAutospacing="0" w:line="360" w:lineRule="auto"/>
              <w:rPr>
                <w:rFonts w:ascii="Times New Roman" w:hAnsi="Times New Roman" w:eastAsia="仿宋" w:cs="Times New Roman"/>
                <w:b/>
                <w:bCs/>
              </w:rPr>
            </w:pPr>
            <w:r>
              <w:rPr>
                <w:rFonts w:ascii="Times New Roman" w:hAnsi="Times New Roman" w:eastAsia="仿宋" w:cs="Times New Roman"/>
                <w:b/>
                <w:bCs/>
              </w:rPr>
              <w:t>《商品房屋租赁管理办法》</w:t>
            </w:r>
          </w:p>
          <w:p>
            <w:pPr>
              <w:pStyle w:val="17"/>
              <w:spacing w:beforeAutospacing="0" w:afterAutospacing="0" w:line="360" w:lineRule="auto"/>
              <w:rPr>
                <w:rFonts w:ascii="Times New Roman" w:hAnsi="Times New Roman" w:eastAsia="仿宋" w:cs="Times New Roman"/>
                <w:bCs/>
                <w:sz w:val="28"/>
                <w:szCs w:val="28"/>
              </w:rPr>
            </w:pPr>
            <w:r>
              <w:rPr>
                <w:rFonts w:ascii="Times New Roman" w:hAnsi="Times New Roman" w:eastAsia="仿宋" w:cs="Times New Roman"/>
              </w:rPr>
              <w:t>（2010年12月01日由中华人民共和国住房和城乡建设部令第6号发布实施）</w:t>
            </w:r>
          </w:p>
        </w:tc>
        <w:tc>
          <w:tcPr>
            <w:tcW w:w="1770" w:type="dxa"/>
            <w:shd w:val="clear" w:color="auto" w:fill="auto"/>
            <w:vAlign w:val="center"/>
          </w:tcPr>
          <w:p>
            <w:pPr>
              <w:pStyle w:val="17"/>
              <w:spacing w:beforeAutospacing="0" w:afterAutospacing="0" w:line="360" w:lineRule="auto"/>
              <w:jc w:val="center"/>
              <w:rPr>
                <w:rFonts w:ascii="Times New Roman" w:hAnsi="Times New Roman" w:eastAsia="仿宋" w:cs="Times New Roman"/>
                <w:szCs w:val="28"/>
              </w:rPr>
            </w:pPr>
            <w:r>
              <w:rPr>
                <w:rFonts w:ascii="Times New Roman" w:hAnsi="Times New Roman" w:eastAsia="仿宋" w:cs="Times New Roman"/>
                <w:szCs w:val="28"/>
              </w:rPr>
              <w:t>《租赁办法》</w:t>
            </w:r>
          </w:p>
        </w:tc>
      </w:tr>
    </w:tbl>
    <w:p>
      <w:pPr>
        <w:pStyle w:val="17"/>
        <w:pageBreakBefore/>
        <w:spacing w:beforeAutospacing="0" w:afterAutospacing="0" w:line="360" w:lineRule="auto"/>
        <w:rPr>
          <w:rFonts w:ascii="Times New Roman" w:hAnsi="Times New Roman" w:eastAsia="仿宋_GB2312" w:cs="Times New Roman"/>
        </w:rPr>
      </w:pPr>
      <w:r>
        <w:rPr>
          <w:rFonts w:ascii="Times New Roman" w:hAnsi="Times New Roman" w:eastAsia="黑体" w:cs="Times New Roman"/>
          <w:b/>
          <w:sz w:val="28"/>
        </w:rPr>
        <w:t>二、良好行为评分指标</w:t>
      </w:r>
    </w:p>
    <w:p>
      <w:pPr>
        <w:pStyle w:val="17"/>
        <w:spacing w:beforeAutospacing="0" w:afterAutospacing="0" w:line="360" w:lineRule="auto"/>
        <w:rPr>
          <w:rFonts w:ascii="Times New Roman" w:hAnsi="Times New Roman" w:eastAsia="仿宋_GB2312" w:cs="Times New Roman"/>
          <w:b/>
          <w:sz w:val="28"/>
        </w:rPr>
      </w:pPr>
      <w:r>
        <w:rPr>
          <w:rFonts w:ascii="Times New Roman" w:hAnsi="Times New Roman" w:eastAsia="仿宋_GB2312" w:cs="Times New Roman"/>
          <w:b/>
          <w:sz w:val="28"/>
        </w:rPr>
        <w:t>（一）“单位会员”良好行为评分指标</w:t>
      </w:r>
    </w:p>
    <w:tbl>
      <w:tblPr>
        <w:tblStyle w:val="1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6379"/>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17"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序号</w:t>
            </w:r>
          </w:p>
        </w:tc>
        <w:tc>
          <w:tcPr>
            <w:tcW w:w="709"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等级</w:t>
            </w:r>
          </w:p>
        </w:tc>
        <w:tc>
          <w:tcPr>
            <w:tcW w:w="6379"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评分指标</w:t>
            </w:r>
          </w:p>
        </w:tc>
        <w:tc>
          <w:tcPr>
            <w:tcW w:w="1381"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8"/>
              </w:numPr>
              <w:snapToGrid w:val="0"/>
              <w:spacing w:line="360" w:lineRule="auto"/>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A</w:t>
            </w:r>
          </w:p>
        </w:tc>
        <w:tc>
          <w:tcPr>
            <w:tcW w:w="6379" w:type="dxa"/>
          </w:tcPr>
          <w:p>
            <w:pPr>
              <w:snapToGrid w:val="0"/>
              <w:spacing w:line="360" w:lineRule="auto"/>
              <w:rPr>
                <w:rFonts w:ascii="Times New Roman" w:hAnsi="Times New Roman" w:eastAsia="仿宋"/>
                <w:sz w:val="24"/>
              </w:rPr>
            </w:pPr>
            <w:r>
              <w:rPr>
                <w:rFonts w:ascii="Times New Roman" w:hAnsi="Times New Roman" w:eastAsia="仿宋"/>
                <w:sz w:val="24"/>
              </w:rPr>
              <w:t>根据存续年限每年加0.5分。</w:t>
            </w:r>
          </w:p>
          <w:p>
            <w:pPr>
              <w:snapToGrid w:val="0"/>
              <w:spacing w:line="360" w:lineRule="auto"/>
              <w:rPr>
                <w:rFonts w:ascii="Times New Roman" w:hAnsi="Times New Roman" w:eastAsia="仿宋"/>
                <w:sz w:val="24"/>
              </w:rPr>
            </w:pPr>
            <w:r>
              <w:rPr>
                <w:rFonts w:ascii="Times New Roman" w:hAnsi="Times New Roman" w:eastAsia="仿宋"/>
                <w:sz w:val="24"/>
              </w:rPr>
              <w:t>（注：1、最高可加12分；2、以备案时间为起始日期计算；3、每年1月31日根据上年参加年检情况进行加分，如未按时参加上年年检的，本年度不加分；4、如出现未按时年检被注销再次办理备案的，以首次备案时间为准，且社会信用编码未发生变化。）</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8"/>
              </w:numPr>
              <w:snapToGrid w:val="0"/>
              <w:spacing w:line="360" w:lineRule="auto"/>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A</w:t>
            </w:r>
          </w:p>
        </w:tc>
        <w:tc>
          <w:tcPr>
            <w:tcW w:w="6379" w:type="dxa"/>
          </w:tcPr>
          <w:p>
            <w:pPr>
              <w:snapToGrid w:val="0"/>
              <w:spacing w:line="360" w:lineRule="auto"/>
              <w:rPr>
                <w:rFonts w:ascii="Times New Roman" w:hAnsi="Times New Roman" w:eastAsia="仿宋"/>
                <w:sz w:val="24"/>
              </w:rPr>
            </w:pPr>
            <w:r>
              <w:rPr>
                <w:rFonts w:ascii="Times New Roman" w:hAnsi="Times New Roman" w:eastAsia="仿宋"/>
                <w:sz w:val="24"/>
              </w:rPr>
              <w:t>开设分支机构的，每个分支机构加0.5分。</w:t>
            </w:r>
          </w:p>
          <w:p>
            <w:pPr>
              <w:snapToGrid w:val="0"/>
              <w:spacing w:line="360" w:lineRule="auto"/>
              <w:rPr>
                <w:rFonts w:ascii="Times New Roman" w:hAnsi="Times New Roman" w:eastAsia="仿宋"/>
                <w:sz w:val="24"/>
              </w:rPr>
            </w:pPr>
            <w:r>
              <w:rPr>
                <w:rFonts w:ascii="Times New Roman" w:hAnsi="Times New Roman" w:eastAsia="仿宋"/>
                <w:sz w:val="24"/>
              </w:rPr>
              <w:t>（注：最高可加12分；每月25日计算1次。）</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8"/>
              </w:numPr>
              <w:snapToGrid w:val="0"/>
              <w:spacing w:line="360" w:lineRule="auto"/>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B</w:t>
            </w:r>
          </w:p>
        </w:tc>
        <w:tc>
          <w:tcPr>
            <w:tcW w:w="6379" w:type="dxa"/>
          </w:tcPr>
          <w:p>
            <w:pPr>
              <w:snapToGrid w:val="0"/>
              <w:spacing w:line="360" w:lineRule="auto"/>
              <w:rPr>
                <w:rFonts w:ascii="Times New Roman" w:hAnsi="Times New Roman" w:eastAsia="仿宋"/>
                <w:sz w:val="24"/>
              </w:rPr>
            </w:pPr>
            <w:r>
              <w:rPr>
                <w:rFonts w:ascii="Times New Roman" w:hAnsi="Times New Roman" w:eastAsia="仿宋"/>
                <w:sz w:val="24"/>
              </w:rPr>
              <w:t>每间机构及分支机构均需具备3名持证人员，每超出1名增加0.5分。</w:t>
            </w:r>
          </w:p>
          <w:p>
            <w:pPr>
              <w:snapToGrid w:val="0"/>
              <w:spacing w:line="360" w:lineRule="auto"/>
              <w:rPr>
                <w:rFonts w:ascii="Times New Roman" w:hAnsi="Times New Roman" w:eastAsia="仿宋"/>
                <w:sz w:val="24"/>
              </w:rPr>
            </w:pPr>
            <w:r>
              <w:rPr>
                <w:rFonts w:ascii="Times New Roman" w:hAnsi="Times New Roman" w:eastAsia="仿宋"/>
                <w:sz w:val="24"/>
              </w:rPr>
              <w:t>（注：以中介信用系统登记为准；最高可加8分；每月25日计算1次。）</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8"/>
              </w:numPr>
              <w:snapToGrid w:val="0"/>
              <w:spacing w:line="360" w:lineRule="auto"/>
              <w:jc w:val="center"/>
              <w:rPr>
                <w:rFonts w:ascii="Times New Roman" w:hAnsi="Times New Roman" w:eastAsia="仿宋"/>
                <w:sz w:val="24"/>
              </w:rPr>
            </w:pPr>
          </w:p>
        </w:tc>
        <w:tc>
          <w:tcPr>
            <w:tcW w:w="709" w:type="dxa"/>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B</w:t>
            </w:r>
          </w:p>
          <w:p>
            <w:pPr>
              <w:snapToGrid w:val="0"/>
              <w:spacing w:line="360" w:lineRule="auto"/>
              <w:jc w:val="center"/>
              <w:rPr>
                <w:rFonts w:ascii="Times New Roman" w:hAnsi="Times New Roman" w:eastAsia="仿宋"/>
                <w:b/>
                <w:bCs/>
                <w:sz w:val="24"/>
              </w:rPr>
            </w:pPr>
            <w:r>
              <w:rPr>
                <w:rFonts w:ascii="Times New Roman" w:hAnsi="Times New Roman" w:eastAsia="仿宋"/>
                <w:b/>
                <w:bCs/>
                <w:sz w:val="24"/>
              </w:rPr>
              <w:t>C</w:t>
            </w:r>
          </w:p>
          <w:p>
            <w:pPr>
              <w:snapToGrid w:val="0"/>
              <w:spacing w:line="360" w:lineRule="auto"/>
              <w:jc w:val="center"/>
              <w:rPr>
                <w:rFonts w:ascii="Times New Roman" w:hAnsi="Times New Roman" w:eastAsia="仿宋"/>
                <w:b/>
                <w:bCs/>
                <w:sz w:val="24"/>
              </w:rPr>
            </w:pPr>
            <w:r>
              <w:rPr>
                <w:rFonts w:ascii="Times New Roman" w:hAnsi="Times New Roman" w:eastAsia="仿宋"/>
                <w:b/>
                <w:bCs/>
                <w:sz w:val="24"/>
              </w:rPr>
              <w:t>C</w:t>
            </w:r>
          </w:p>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tcPr>
          <w:p>
            <w:pPr>
              <w:snapToGrid w:val="0"/>
              <w:spacing w:line="360" w:lineRule="auto"/>
              <w:rPr>
                <w:rFonts w:ascii="Times New Roman" w:hAnsi="Times New Roman" w:eastAsia="仿宋"/>
                <w:sz w:val="24"/>
              </w:rPr>
            </w:pPr>
            <w:r>
              <w:rPr>
                <w:rFonts w:ascii="Times New Roman" w:hAnsi="Times New Roman" w:eastAsia="仿宋"/>
                <w:sz w:val="24"/>
              </w:rPr>
              <w:t>连续2年年度</w:t>
            </w:r>
            <w:r>
              <w:rPr>
                <w:rFonts w:ascii="Times New Roman" w:hAnsi="Times New Roman" w:eastAsia="仿宋"/>
                <w:bCs/>
                <w:sz w:val="24"/>
              </w:rPr>
              <w:t>信用等级结果</w:t>
            </w:r>
            <w:r>
              <w:rPr>
                <w:rFonts w:ascii="Times New Roman" w:hAnsi="Times New Roman" w:eastAsia="仿宋"/>
                <w:sz w:val="24"/>
              </w:rPr>
              <w:t>达到优质的；</w:t>
            </w:r>
          </w:p>
          <w:p>
            <w:pPr>
              <w:snapToGrid w:val="0"/>
              <w:spacing w:line="360" w:lineRule="auto"/>
              <w:rPr>
                <w:rFonts w:ascii="Times New Roman" w:hAnsi="Times New Roman" w:eastAsia="仿宋"/>
                <w:sz w:val="24"/>
              </w:rPr>
            </w:pPr>
            <w:r>
              <w:rPr>
                <w:rFonts w:ascii="Times New Roman" w:hAnsi="Times New Roman" w:eastAsia="仿宋"/>
                <w:sz w:val="24"/>
              </w:rPr>
              <w:t>上年</w:t>
            </w:r>
            <w:r>
              <w:rPr>
                <w:rFonts w:ascii="Times New Roman" w:hAnsi="Times New Roman" w:eastAsia="仿宋"/>
                <w:bCs/>
                <w:sz w:val="24"/>
              </w:rPr>
              <w:t>年度信用等级结果</w:t>
            </w:r>
            <w:r>
              <w:rPr>
                <w:rFonts w:ascii="Times New Roman" w:hAnsi="Times New Roman" w:eastAsia="仿宋"/>
                <w:sz w:val="24"/>
              </w:rPr>
              <w:t>达到优质的；</w:t>
            </w:r>
          </w:p>
          <w:p>
            <w:pPr>
              <w:snapToGrid w:val="0"/>
              <w:spacing w:line="360" w:lineRule="auto"/>
              <w:rPr>
                <w:rFonts w:ascii="Times New Roman" w:hAnsi="Times New Roman" w:eastAsia="仿宋"/>
                <w:sz w:val="24"/>
              </w:rPr>
            </w:pPr>
            <w:r>
              <w:rPr>
                <w:rFonts w:ascii="Times New Roman" w:hAnsi="Times New Roman" w:eastAsia="仿宋"/>
                <w:sz w:val="24"/>
              </w:rPr>
              <w:t>连续2年年度信用等级结果达到良好的；</w:t>
            </w:r>
          </w:p>
          <w:p>
            <w:pPr>
              <w:snapToGrid w:val="0"/>
              <w:spacing w:line="360" w:lineRule="auto"/>
              <w:rPr>
                <w:rFonts w:ascii="Times New Roman" w:hAnsi="Times New Roman" w:eastAsia="仿宋"/>
                <w:sz w:val="24"/>
              </w:rPr>
            </w:pPr>
            <w:r>
              <w:rPr>
                <w:rFonts w:ascii="Times New Roman" w:hAnsi="Times New Roman" w:eastAsia="仿宋"/>
                <w:sz w:val="24"/>
              </w:rPr>
              <w:t>上年</w:t>
            </w:r>
            <w:r>
              <w:rPr>
                <w:rFonts w:ascii="Times New Roman" w:hAnsi="Times New Roman" w:eastAsia="仿宋"/>
                <w:bCs/>
                <w:sz w:val="24"/>
              </w:rPr>
              <w:t>年度信用等级结果</w:t>
            </w:r>
            <w:r>
              <w:rPr>
                <w:rFonts w:ascii="Times New Roman" w:hAnsi="Times New Roman" w:eastAsia="仿宋"/>
                <w:sz w:val="24"/>
              </w:rPr>
              <w:t>达到良好的。</w:t>
            </w:r>
          </w:p>
          <w:p>
            <w:pPr>
              <w:snapToGrid w:val="0"/>
              <w:spacing w:line="360" w:lineRule="auto"/>
              <w:rPr>
                <w:rFonts w:ascii="Times New Roman" w:hAnsi="Times New Roman" w:eastAsia="仿宋"/>
                <w:sz w:val="24"/>
              </w:rPr>
            </w:pPr>
            <w:r>
              <w:rPr>
                <w:rFonts w:ascii="Times New Roman" w:hAnsi="Times New Roman" w:eastAsia="仿宋"/>
                <w:sz w:val="24"/>
              </w:rPr>
              <w:t>（注：每年1月1日计算）</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8"/>
              </w:numPr>
              <w:snapToGrid w:val="0"/>
              <w:spacing w:line="360" w:lineRule="auto"/>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C</w:t>
            </w:r>
          </w:p>
        </w:tc>
        <w:tc>
          <w:tcPr>
            <w:tcW w:w="6379" w:type="dxa"/>
            <w:vAlign w:val="center"/>
          </w:tcPr>
          <w:p>
            <w:pPr>
              <w:snapToGrid w:val="0"/>
              <w:spacing w:line="360" w:lineRule="auto"/>
              <w:jc w:val="left"/>
              <w:rPr>
                <w:rFonts w:ascii="Times New Roman" w:hAnsi="Times New Roman" w:eastAsia="仿宋"/>
                <w:b/>
                <w:sz w:val="24"/>
              </w:rPr>
            </w:pPr>
            <w:r>
              <w:rPr>
                <w:rFonts w:ascii="Times New Roman" w:hAnsi="Times New Roman" w:eastAsia="仿宋"/>
                <w:bCs/>
                <w:sz w:val="24"/>
                <w:szCs w:val="24"/>
              </w:rPr>
              <w:t>机构从业人员信用信息卡持卡率达80%以上，可获信用分。（注：持卡率 =（机构持卡人数 /机构从业人数）×100%，以中介信用系统登记为准。可获信用分=（持卡率-80%）×10+3，最高可获5分；持卡率低于80%的不计分；机构从业人数小于（分支机构数+1）×3的不计分。每月25日更新计算1次。）</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8"/>
              </w:numPr>
              <w:snapToGrid w:val="0"/>
              <w:spacing w:line="360" w:lineRule="auto"/>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tcPr>
          <w:p>
            <w:pPr>
              <w:snapToGrid w:val="0"/>
              <w:spacing w:line="360" w:lineRule="auto"/>
              <w:rPr>
                <w:rFonts w:ascii="Times New Roman" w:hAnsi="Times New Roman" w:eastAsia="仿宋"/>
                <w:sz w:val="24"/>
              </w:rPr>
            </w:pPr>
            <w:r>
              <w:rPr>
                <w:rFonts w:ascii="Times New Roman" w:hAnsi="Times New Roman" w:eastAsia="仿宋"/>
                <w:sz w:val="24"/>
              </w:rPr>
              <w:t>本年度为行业管理工作做出突出贡献，包括：</w:t>
            </w:r>
          </w:p>
          <w:p>
            <w:pPr>
              <w:pStyle w:val="32"/>
              <w:numPr>
                <w:ilvl w:val="0"/>
                <w:numId w:val="9"/>
              </w:numPr>
              <w:snapToGrid w:val="0"/>
              <w:spacing w:line="360" w:lineRule="auto"/>
              <w:ind w:firstLineChars="0"/>
              <w:rPr>
                <w:rFonts w:ascii="Times New Roman" w:hAnsi="Times New Roman" w:eastAsia="仿宋"/>
                <w:sz w:val="24"/>
              </w:rPr>
            </w:pPr>
            <w:r>
              <w:rPr>
                <w:rFonts w:ascii="Times New Roman" w:hAnsi="Times New Roman" w:eastAsia="仿宋"/>
                <w:sz w:val="24"/>
              </w:rPr>
              <w:t>提出行业管理或协会服务等方面的合理化建议和意见被采纳的；</w:t>
            </w:r>
          </w:p>
          <w:p>
            <w:pPr>
              <w:pStyle w:val="32"/>
              <w:numPr>
                <w:ilvl w:val="0"/>
                <w:numId w:val="9"/>
              </w:numPr>
              <w:snapToGrid w:val="0"/>
              <w:spacing w:line="360" w:lineRule="auto"/>
              <w:ind w:firstLineChars="0"/>
              <w:rPr>
                <w:rFonts w:ascii="Times New Roman" w:hAnsi="Times New Roman" w:eastAsia="仿宋"/>
                <w:sz w:val="24"/>
              </w:rPr>
            </w:pPr>
            <w:r>
              <w:rPr>
                <w:rFonts w:ascii="Times New Roman" w:hAnsi="Times New Roman" w:eastAsia="仿宋"/>
                <w:sz w:val="24"/>
              </w:rPr>
              <w:t>义务参与主管部门或协会组织的与行业有关的政策、法律、法规、标准等制定工作的；</w:t>
            </w:r>
          </w:p>
          <w:p>
            <w:pPr>
              <w:pStyle w:val="32"/>
              <w:numPr>
                <w:ilvl w:val="0"/>
                <w:numId w:val="9"/>
              </w:numPr>
              <w:snapToGrid w:val="0"/>
              <w:spacing w:line="360" w:lineRule="auto"/>
              <w:ind w:firstLineChars="0"/>
              <w:rPr>
                <w:rFonts w:ascii="Times New Roman" w:hAnsi="Times New Roman" w:eastAsia="仿宋"/>
                <w:sz w:val="24"/>
              </w:rPr>
            </w:pPr>
            <w:r>
              <w:rPr>
                <w:rFonts w:ascii="Times New Roman" w:hAnsi="Times New Roman" w:eastAsia="仿宋"/>
                <w:sz w:val="24"/>
              </w:rPr>
              <w:t>义务参与行业的课题研究、调研、数据采集、信息汇总等工作的。</w:t>
            </w:r>
          </w:p>
          <w:p>
            <w:pPr>
              <w:snapToGrid w:val="0"/>
              <w:spacing w:line="360" w:lineRule="auto"/>
              <w:rPr>
                <w:rFonts w:ascii="Times New Roman" w:hAnsi="Times New Roman" w:eastAsia="仿宋"/>
                <w:sz w:val="24"/>
              </w:rPr>
            </w:pPr>
            <w:r>
              <w:rPr>
                <w:rFonts w:ascii="Times New Roman" w:hAnsi="Times New Roman" w:eastAsia="仿宋"/>
                <w:sz w:val="24"/>
              </w:rPr>
              <w:t>（注：每年最高可认定18分）</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bl>
    <w:p>
      <w:pPr>
        <w:pStyle w:val="17"/>
        <w:spacing w:beforeAutospacing="0" w:afterAutospacing="0" w:line="360" w:lineRule="auto"/>
        <w:rPr>
          <w:rFonts w:ascii="Times New Roman" w:hAnsi="Times New Roman" w:eastAsia="仿宋_GB2312" w:cs="Times New Roman"/>
          <w:b/>
        </w:rPr>
      </w:pPr>
    </w:p>
    <w:p>
      <w:pPr>
        <w:pStyle w:val="17"/>
        <w:spacing w:beforeAutospacing="0" w:afterAutospacing="0" w:line="360" w:lineRule="auto"/>
        <w:rPr>
          <w:rFonts w:ascii="Times New Roman" w:hAnsi="Times New Roman" w:eastAsia="仿宋_GB2312" w:cs="Times New Roman"/>
          <w:b/>
          <w:sz w:val="28"/>
        </w:rPr>
      </w:pPr>
      <w:r>
        <w:rPr>
          <w:rFonts w:ascii="Times New Roman" w:hAnsi="Times New Roman" w:eastAsia="仿宋_GB2312" w:cs="Times New Roman"/>
          <w:b/>
          <w:sz w:val="28"/>
        </w:rPr>
        <w:t>（二）“个人会员”良好行为评分指标</w:t>
      </w:r>
    </w:p>
    <w:tbl>
      <w:tblPr>
        <w:tblStyle w:val="1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6379"/>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序号</w:t>
            </w:r>
          </w:p>
        </w:tc>
        <w:tc>
          <w:tcPr>
            <w:tcW w:w="709"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等级</w:t>
            </w:r>
          </w:p>
        </w:tc>
        <w:tc>
          <w:tcPr>
            <w:tcW w:w="6379"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评分指标</w:t>
            </w:r>
          </w:p>
        </w:tc>
        <w:tc>
          <w:tcPr>
            <w:tcW w:w="1381" w:type="dxa"/>
            <w:vAlign w:val="center"/>
          </w:tcPr>
          <w:p>
            <w:pPr>
              <w:spacing w:line="360" w:lineRule="auto"/>
              <w:jc w:val="center"/>
              <w:rPr>
                <w:rFonts w:ascii="Times New Roman" w:hAnsi="Times New Roman" w:eastAsia="黑体"/>
                <w:b/>
                <w:sz w:val="24"/>
              </w:rPr>
            </w:pPr>
            <w:r>
              <w:rPr>
                <w:rFonts w:ascii="Times New Roman" w:hAnsi="Times New Roman" w:eastAsia="黑体"/>
                <w:b/>
                <w:sz w:val="24"/>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存续年限：每年加1分。</w:t>
            </w:r>
          </w:p>
          <w:p>
            <w:pPr>
              <w:snapToGrid w:val="0"/>
              <w:spacing w:line="360" w:lineRule="auto"/>
              <w:jc w:val="left"/>
              <w:rPr>
                <w:rFonts w:ascii="Times New Roman" w:hAnsi="Times New Roman" w:eastAsia="仿宋"/>
                <w:sz w:val="24"/>
              </w:rPr>
            </w:pPr>
            <w:r>
              <w:rPr>
                <w:rFonts w:ascii="Times New Roman" w:hAnsi="Times New Roman" w:eastAsia="仿宋"/>
                <w:sz w:val="24"/>
              </w:rPr>
              <w:t>（注：不设置上限；2、每年5月31日根据上年年检情况进行加分，如未按时参加上年年检的，本年度不加分。）</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C</w:t>
            </w: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上年按时参加业务水平认证继续教育年度检查的。</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B</w:t>
            </w:r>
          </w:p>
          <w:p>
            <w:pPr>
              <w:snapToGrid w:val="0"/>
              <w:spacing w:line="360" w:lineRule="auto"/>
              <w:jc w:val="center"/>
              <w:rPr>
                <w:rFonts w:ascii="Times New Roman" w:hAnsi="Times New Roman" w:eastAsia="仿宋"/>
                <w:b/>
                <w:bCs/>
                <w:sz w:val="24"/>
              </w:rPr>
            </w:pPr>
            <w:r>
              <w:rPr>
                <w:rFonts w:ascii="Times New Roman" w:hAnsi="Times New Roman" w:eastAsia="仿宋"/>
                <w:b/>
                <w:bCs/>
                <w:sz w:val="24"/>
              </w:rPr>
              <w:t>C</w:t>
            </w:r>
          </w:p>
          <w:p>
            <w:pPr>
              <w:snapToGrid w:val="0"/>
              <w:spacing w:line="360" w:lineRule="auto"/>
              <w:jc w:val="center"/>
              <w:rPr>
                <w:rFonts w:ascii="Times New Roman" w:hAnsi="Times New Roman" w:eastAsia="仿宋"/>
                <w:b/>
                <w:bCs/>
                <w:sz w:val="24"/>
              </w:rPr>
            </w:pPr>
            <w:r>
              <w:rPr>
                <w:rFonts w:ascii="Times New Roman" w:hAnsi="Times New Roman" w:eastAsia="仿宋"/>
                <w:b/>
                <w:bCs/>
                <w:sz w:val="24"/>
              </w:rPr>
              <w:t>C</w:t>
            </w:r>
          </w:p>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连续2年年度</w:t>
            </w:r>
            <w:r>
              <w:rPr>
                <w:rFonts w:ascii="Times New Roman" w:hAnsi="Times New Roman" w:eastAsia="仿宋"/>
                <w:bCs/>
                <w:sz w:val="24"/>
              </w:rPr>
              <w:t>信用等级结果</w:t>
            </w:r>
            <w:r>
              <w:rPr>
                <w:rFonts w:ascii="Times New Roman" w:hAnsi="Times New Roman" w:eastAsia="仿宋"/>
                <w:sz w:val="24"/>
              </w:rPr>
              <w:t>达到优质的；</w:t>
            </w:r>
          </w:p>
          <w:p>
            <w:pPr>
              <w:snapToGrid w:val="0"/>
              <w:spacing w:line="360" w:lineRule="auto"/>
              <w:jc w:val="left"/>
              <w:rPr>
                <w:rFonts w:ascii="Times New Roman" w:hAnsi="Times New Roman" w:eastAsia="仿宋"/>
                <w:sz w:val="24"/>
              </w:rPr>
            </w:pPr>
            <w:r>
              <w:rPr>
                <w:rFonts w:ascii="Times New Roman" w:hAnsi="Times New Roman" w:eastAsia="仿宋"/>
                <w:sz w:val="24"/>
              </w:rPr>
              <w:t>上年</w:t>
            </w:r>
            <w:r>
              <w:rPr>
                <w:rFonts w:ascii="Times New Roman" w:hAnsi="Times New Roman" w:eastAsia="仿宋"/>
                <w:bCs/>
                <w:sz w:val="24"/>
              </w:rPr>
              <w:t>年度信用等级结果</w:t>
            </w:r>
            <w:r>
              <w:rPr>
                <w:rFonts w:ascii="Times New Roman" w:hAnsi="Times New Roman" w:eastAsia="仿宋"/>
                <w:sz w:val="24"/>
              </w:rPr>
              <w:t>达到优质的；</w:t>
            </w:r>
          </w:p>
          <w:p>
            <w:pPr>
              <w:snapToGrid w:val="0"/>
              <w:spacing w:line="360" w:lineRule="auto"/>
              <w:jc w:val="left"/>
              <w:rPr>
                <w:rFonts w:ascii="Times New Roman" w:hAnsi="Times New Roman" w:eastAsia="仿宋"/>
                <w:sz w:val="24"/>
              </w:rPr>
            </w:pPr>
            <w:r>
              <w:rPr>
                <w:rFonts w:ascii="Times New Roman" w:hAnsi="Times New Roman" w:eastAsia="仿宋"/>
                <w:sz w:val="24"/>
              </w:rPr>
              <w:t>连续2年年度信用等级结果达到良好的；</w:t>
            </w:r>
          </w:p>
          <w:p>
            <w:pPr>
              <w:snapToGrid w:val="0"/>
              <w:spacing w:line="360" w:lineRule="auto"/>
              <w:jc w:val="left"/>
              <w:rPr>
                <w:rFonts w:ascii="Times New Roman" w:hAnsi="Times New Roman" w:eastAsia="仿宋"/>
                <w:sz w:val="24"/>
              </w:rPr>
            </w:pPr>
            <w:r>
              <w:rPr>
                <w:rFonts w:ascii="Times New Roman" w:hAnsi="Times New Roman" w:eastAsia="仿宋"/>
                <w:sz w:val="24"/>
              </w:rPr>
              <w:t>上年</w:t>
            </w:r>
            <w:r>
              <w:rPr>
                <w:rFonts w:ascii="Times New Roman" w:hAnsi="Times New Roman" w:eastAsia="仿宋"/>
                <w:bCs/>
                <w:sz w:val="24"/>
              </w:rPr>
              <w:t>年度信用等级结果</w:t>
            </w:r>
            <w:r>
              <w:rPr>
                <w:rFonts w:ascii="Times New Roman" w:hAnsi="Times New Roman" w:eastAsia="仿宋"/>
                <w:sz w:val="24"/>
              </w:rPr>
              <w:t>达到良好的。</w:t>
            </w:r>
          </w:p>
          <w:p>
            <w:pPr>
              <w:snapToGrid w:val="0"/>
              <w:spacing w:line="360" w:lineRule="auto"/>
              <w:jc w:val="left"/>
              <w:rPr>
                <w:rFonts w:ascii="Times New Roman" w:hAnsi="Times New Roman" w:eastAsia="仿宋"/>
                <w:sz w:val="24"/>
              </w:rPr>
            </w:pPr>
            <w:r>
              <w:rPr>
                <w:rFonts w:ascii="Times New Roman" w:hAnsi="Times New Roman" w:eastAsia="仿宋"/>
                <w:sz w:val="24"/>
              </w:rPr>
              <w:t>（注：每年1月1日计算）</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本年积极参加行业培训讲师工作的。</w:t>
            </w:r>
          </w:p>
          <w:p>
            <w:pPr>
              <w:snapToGrid w:val="0"/>
              <w:spacing w:line="360" w:lineRule="auto"/>
              <w:jc w:val="left"/>
              <w:rPr>
                <w:rFonts w:ascii="Times New Roman" w:hAnsi="Times New Roman" w:eastAsia="仿宋"/>
                <w:sz w:val="24"/>
              </w:rPr>
            </w:pPr>
            <w:r>
              <w:rPr>
                <w:rFonts w:ascii="Times New Roman" w:hAnsi="Times New Roman" w:eastAsia="仿宋"/>
                <w:sz w:val="24"/>
              </w:rPr>
              <w:t>（注：每年最高可认定12分）</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本年度积极参加行业自律管理（投诉案件审议）工作会议的。</w:t>
            </w:r>
          </w:p>
          <w:p>
            <w:pPr>
              <w:snapToGrid w:val="0"/>
              <w:spacing w:line="360" w:lineRule="auto"/>
              <w:jc w:val="left"/>
              <w:rPr>
                <w:rFonts w:ascii="Times New Roman" w:hAnsi="Times New Roman" w:eastAsia="仿宋"/>
                <w:sz w:val="24"/>
              </w:rPr>
            </w:pPr>
            <w:r>
              <w:rPr>
                <w:rFonts w:ascii="Times New Roman" w:hAnsi="Times New Roman" w:eastAsia="仿宋"/>
                <w:sz w:val="24"/>
              </w:rPr>
              <w:t>（注：每年最高可认定12分）</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本年度积极举报未备案机构、机构或从业人员违法违规行为的。</w:t>
            </w:r>
          </w:p>
          <w:p>
            <w:pPr>
              <w:snapToGrid w:val="0"/>
              <w:spacing w:line="360" w:lineRule="auto"/>
              <w:jc w:val="left"/>
              <w:rPr>
                <w:rFonts w:ascii="Times New Roman" w:hAnsi="Times New Roman" w:eastAsia="仿宋"/>
                <w:sz w:val="24"/>
              </w:rPr>
            </w:pPr>
            <w:r>
              <w:rPr>
                <w:rFonts w:ascii="Times New Roman" w:hAnsi="Times New Roman" w:eastAsia="仿宋"/>
                <w:sz w:val="24"/>
              </w:rPr>
              <w:t>（注：每年最高可认定12分）</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pStyle w:val="32"/>
              <w:numPr>
                <w:ilvl w:val="0"/>
                <w:numId w:val="10"/>
              </w:numPr>
              <w:snapToGrid w:val="0"/>
              <w:spacing w:line="360" w:lineRule="auto"/>
              <w:ind w:firstLineChars="0"/>
              <w:jc w:val="center"/>
              <w:rPr>
                <w:rFonts w:ascii="Times New Roman" w:hAnsi="Times New Roman" w:eastAsia="仿宋"/>
                <w:sz w:val="24"/>
              </w:rPr>
            </w:pPr>
          </w:p>
        </w:tc>
        <w:tc>
          <w:tcPr>
            <w:tcW w:w="709" w:type="dxa"/>
            <w:vAlign w:val="center"/>
          </w:tcPr>
          <w:p>
            <w:pPr>
              <w:snapToGrid w:val="0"/>
              <w:spacing w:line="360" w:lineRule="auto"/>
              <w:jc w:val="center"/>
              <w:rPr>
                <w:rFonts w:ascii="Times New Roman" w:hAnsi="Times New Roman" w:eastAsia="仿宋"/>
                <w:b/>
                <w:bCs/>
                <w:sz w:val="24"/>
              </w:rPr>
            </w:pPr>
            <w:r>
              <w:rPr>
                <w:rFonts w:ascii="Times New Roman" w:hAnsi="Times New Roman" w:eastAsia="仿宋"/>
                <w:b/>
                <w:bCs/>
                <w:sz w:val="24"/>
              </w:rPr>
              <w:t>D</w:t>
            </w:r>
          </w:p>
        </w:tc>
        <w:tc>
          <w:tcPr>
            <w:tcW w:w="6379" w:type="dxa"/>
            <w:vAlign w:val="center"/>
          </w:tcPr>
          <w:p>
            <w:pPr>
              <w:snapToGrid w:val="0"/>
              <w:spacing w:line="360" w:lineRule="auto"/>
              <w:jc w:val="left"/>
              <w:rPr>
                <w:rFonts w:ascii="Times New Roman" w:hAnsi="Times New Roman" w:eastAsia="仿宋"/>
                <w:sz w:val="24"/>
              </w:rPr>
            </w:pPr>
            <w:r>
              <w:rPr>
                <w:rFonts w:ascii="Times New Roman" w:hAnsi="Times New Roman" w:eastAsia="仿宋"/>
                <w:sz w:val="24"/>
              </w:rPr>
              <w:t>本年度为行业管理工作做出突出贡献，包括：</w:t>
            </w:r>
          </w:p>
          <w:p>
            <w:pPr>
              <w:pStyle w:val="32"/>
              <w:numPr>
                <w:ilvl w:val="0"/>
                <w:numId w:val="11"/>
              </w:numPr>
              <w:snapToGrid w:val="0"/>
              <w:spacing w:line="360" w:lineRule="auto"/>
              <w:ind w:firstLineChars="0"/>
              <w:jc w:val="left"/>
              <w:rPr>
                <w:rFonts w:ascii="Times New Roman" w:hAnsi="Times New Roman" w:eastAsia="仿宋"/>
                <w:sz w:val="24"/>
              </w:rPr>
            </w:pPr>
            <w:r>
              <w:rPr>
                <w:rFonts w:ascii="Times New Roman" w:hAnsi="Times New Roman" w:eastAsia="仿宋"/>
                <w:sz w:val="24"/>
              </w:rPr>
              <w:t>提出行业管理或协会服务等方面的合理化建议和意见被采纳的；</w:t>
            </w:r>
          </w:p>
          <w:p>
            <w:pPr>
              <w:pStyle w:val="32"/>
              <w:numPr>
                <w:ilvl w:val="0"/>
                <w:numId w:val="11"/>
              </w:numPr>
              <w:snapToGrid w:val="0"/>
              <w:spacing w:line="360" w:lineRule="auto"/>
              <w:ind w:firstLineChars="0"/>
              <w:jc w:val="left"/>
              <w:rPr>
                <w:rFonts w:ascii="Times New Roman" w:hAnsi="Times New Roman" w:eastAsia="仿宋"/>
                <w:sz w:val="24"/>
              </w:rPr>
            </w:pPr>
            <w:r>
              <w:rPr>
                <w:rFonts w:ascii="Times New Roman" w:hAnsi="Times New Roman" w:eastAsia="仿宋"/>
                <w:sz w:val="24"/>
              </w:rPr>
              <w:t>义务参与主管部门或协会组织的与行业有关的政策、法律、法规、标准等制定工作的；</w:t>
            </w:r>
          </w:p>
          <w:p>
            <w:pPr>
              <w:pStyle w:val="32"/>
              <w:numPr>
                <w:ilvl w:val="0"/>
                <w:numId w:val="11"/>
              </w:numPr>
              <w:snapToGrid w:val="0"/>
              <w:spacing w:line="360" w:lineRule="auto"/>
              <w:ind w:firstLineChars="0"/>
              <w:jc w:val="left"/>
              <w:rPr>
                <w:rFonts w:ascii="Times New Roman" w:hAnsi="Times New Roman" w:eastAsia="仿宋"/>
                <w:sz w:val="24"/>
              </w:rPr>
            </w:pPr>
            <w:r>
              <w:rPr>
                <w:rFonts w:ascii="Times New Roman" w:hAnsi="Times New Roman" w:eastAsia="仿宋"/>
                <w:sz w:val="24"/>
              </w:rPr>
              <w:t>义务参与行业的课题研究、调研、数据采集、信息汇总等工作的。</w:t>
            </w:r>
          </w:p>
          <w:p>
            <w:pPr>
              <w:snapToGrid w:val="0"/>
              <w:spacing w:line="360" w:lineRule="auto"/>
              <w:jc w:val="left"/>
              <w:rPr>
                <w:rFonts w:ascii="Times New Roman" w:hAnsi="Times New Roman" w:eastAsia="仿宋"/>
                <w:sz w:val="24"/>
              </w:rPr>
            </w:pPr>
            <w:r>
              <w:rPr>
                <w:rFonts w:ascii="Times New Roman" w:hAnsi="Times New Roman" w:eastAsia="仿宋"/>
                <w:sz w:val="24"/>
              </w:rPr>
              <w:t>（注：每年最高可认定12分）</w:t>
            </w:r>
          </w:p>
        </w:tc>
        <w:tc>
          <w:tcPr>
            <w:tcW w:w="1381" w:type="dxa"/>
            <w:vAlign w:val="center"/>
          </w:tcPr>
          <w:p>
            <w:pPr>
              <w:snapToGrid w:val="0"/>
              <w:spacing w:line="360" w:lineRule="auto"/>
              <w:jc w:val="center"/>
              <w:rPr>
                <w:rFonts w:ascii="Times New Roman" w:hAnsi="Times New Roman" w:eastAsia="仿宋"/>
                <w:sz w:val="24"/>
              </w:rPr>
            </w:pPr>
            <w:r>
              <w:rPr>
                <w:rFonts w:ascii="Times New Roman" w:hAnsi="Times New Roman" w:eastAsia="仿宋"/>
                <w:sz w:val="24"/>
              </w:rPr>
              <w:t>行业自律</w:t>
            </w:r>
          </w:p>
        </w:tc>
      </w:tr>
    </w:tbl>
    <w:p>
      <w:pPr>
        <w:pStyle w:val="17"/>
        <w:pageBreakBefore/>
        <w:spacing w:beforeAutospacing="0" w:afterAutospacing="0" w:line="360" w:lineRule="auto"/>
        <w:rPr>
          <w:rFonts w:ascii="Times New Roman" w:hAnsi="Times New Roman" w:eastAsia="仿宋_GB2312" w:cs="Times New Roman"/>
        </w:rPr>
      </w:pPr>
      <w:bookmarkStart w:id="292" w:name="_Toc306007142"/>
      <w:r>
        <w:rPr>
          <w:rFonts w:ascii="Times New Roman" w:hAnsi="Times New Roman" w:eastAsia="黑体" w:cs="Times New Roman"/>
          <w:b/>
          <w:sz w:val="28"/>
        </w:rPr>
        <w:t>三、不良行为评分指标</w:t>
      </w:r>
      <w:bookmarkEnd w:id="292"/>
    </w:p>
    <w:p>
      <w:pPr>
        <w:spacing w:line="360" w:lineRule="auto"/>
        <w:ind w:firstLine="480" w:firstLineChars="200"/>
        <w:rPr>
          <w:rFonts w:ascii="Times New Roman" w:hAnsi="Times New Roman" w:eastAsia="仿宋"/>
          <w:sz w:val="24"/>
        </w:rPr>
      </w:pPr>
      <w:r>
        <w:rPr>
          <w:rFonts w:ascii="Times New Roman" w:hAnsi="Times New Roman" w:eastAsia="仿宋"/>
          <w:sz w:val="24"/>
        </w:rPr>
        <w:t>受房地产主管部门行政处罚或行政处理决定的，按当次违法违规行为具体情形所对应的评分指标进行信用扣分。</w:t>
      </w:r>
    </w:p>
    <w:p>
      <w:pPr>
        <w:spacing w:line="360" w:lineRule="auto"/>
        <w:ind w:firstLine="480" w:firstLineChars="200"/>
        <w:rPr>
          <w:rFonts w:ascii="Times New Roman" w:hAnsi="Times New Roman" w:eastAsia="仿宋"/>
          <w:sz w:val="24"/>
        </w:rPr>
      </w:pPr>
      <w:r>
        <w:rPr>
          <w:rFonts w:ascii="Times New Roman" w:hAnsi="Times New Roman" w:eastAsia="仿宋"/>
          <w:sz w:val="24"/>
        </w:rPr>
        <w:t>有以下情形的，协会可参照下表指标进行信用评分。</w:t>
      </w:r>
    </w:p>
    <w:p>
      <w:pPr>
        <w:spacing w:line="360" w:lineRule="auto"/>
        <w:ind w:firstLine="480" w:firstLineChars="200"/>
        <w:rPr>
          <w:rFonts w:ascii="Times New Roman" w:hAnsi="Times New Roman" w:eastAsia="仿宋"/>
          <w:sz w:val="24"/>
        </w:rPr>
      </w:pPr>
      <w:r>
        <w:rPr>
          <w:rFonts w:ascii="Times New Roman" w:hAnsi="Times New Roman" w:eastAsia="仿宋"/>
          <w:sz w:val="24"/>
        </w:rPr>
        <w:t>（1）属行业自律管理范畴的；</w:t>
      </w:r>
    </w:p>
    <w:p>
      <w:pPr>
        <w:spacing w:line="360" w:lineRule="auto"/>
        <w:ind w:firstLine="480" w:firstLineChars="200"/>
        <w:rPr>
          <w:rFonts w:ascii="Times New Roman" w:hAnsi="Times New Roman" w:eastAsia="仿宋"/>
          <w:sz w:val="24"/>
        </w:rPr>
      </w:pPr>
      <w:r>
        <w:rPr>
          <w:rFonts w:ascii="Times New Roman" w:hAnsi="Times New Roman" w:eastAsia="仿宋"/>
          <w:sz w:val="24"/>
        </w:rPr>
        <w:t>（2）消费者投诉，中介机构或从业人员未在规定时间内接受调查或提出异议的；</w:t>
      </w:r>
    </w:p>
    <w:p>
      <w:pPr>
        <w:spacing w:line="360" w:lineRule="auto"/>
        <w:ind w:firstLine="480" w:firstLineChars="200"/>
        <w:rPr>
          <w:rFonts w:ascii="Times New Roman" w:hAnsi="Times New Roman" w:eastAsia="仿宋"/>
          <w:sz w:val="24"/>
        </w:rPr>
      </w:pPr>
      <w:r>
        <w:rPr>
          <w:rFonts w:ascii="Times New Roman" w:hAnsi="Times New Roman" w:eastAsia="仿宋"/>
          <w:sz w:val="24"/>
        </w:rPr>
        <w:t>（3）中介机构或从业人员举报，被举报人未在规定时间内提出异议的。</w:t>
      </w:r>
    </w:p>
    <w:p>
      <w:pPr>
        <w:spacing w:line="360" w:lineRule="auto"/>
        <w:ind w:firstLine="480" w:firstLineChars="200"/>
        <w:rPr>
          <w:rFonts w:ascii="Times New Roman" w:hAnsi="Times New Roman" w:eastAsia="仿宋_GB2312"/>
          <w:sz w:val="24"/>
        </w:rPr>
      </w:pPr>
    </w:p>
    <w:p>
      <w:pPr>
        <w:spacing w:line="360" w:lineRule="auto"/>
        <w:ind w:firstLine="481" w:firstLineChars="200"/>
        <w:rPr>
          <w:rFonts w:ascii="Times New Roman" w:hAnsi="Times New Roman" w:eastAsia="仿宋_GB2312"/>
          <w:b/>
          <w:sz w:val="28"/>
        </w:rPr>
      </w:pPr>
      <w:r>
        <w:rPr>
          <w:rFonts w:ascii="Times New Roman" w:hAnsi="Times New Roman" w:eastAsia="仿宋_GB2312"/>
          <w:b/>
          <w:sz w:val="24"/>
        </w:rPr>
        <w:t>指标分布情况：</w:t>
      </w:r>
    </w:p>
    <w:tbl>
      <w:tblPr>
        <w:tblStyle w:val="19"/>
        <w:tblW w:w="7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508"/>
        <w:gridCol w:w="1508"/>
        <w:gridCol w:w="1508"/>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shd w:val="clear" w:color="auto" w:fill="auto"/>
          </w:tcPr>
          <w:p>
            <w:pPr>
              <w:spacing w:line="360" w:lineRule="auto"/>
              <w:jc w:val="center"/>
              <w:rPr>
                <w:rFonts w:ascii="Times New Roman" w:hAnsi="Times New Roman" w:eastAsia="仿宋"/>
                <w:b/>
                <w:sz w:val="24"/>
              </w:rPr>
            </w:pPr>
            <w:r>
              <w:rPr>
                <w:rFonts w:ascii="Times New Roman" w:hAnsi="Times New Roman" w:eastAsia="仿宋"/>
                <w:b/>
                <w:sz w:val="24"/>
              </w:rPr>
              <w:t>指标等级</w:t>
            </w:r>
          </w:p>
        </w:tc>
        <w:tc>
          <w:tcPr>
            <w:tcW w:w="1508" w:type="dxa"/>
            <w:shd w:val="clear" w:color="auto" w:fill="auto"/>
          </w:tcPr>
          <w:p>
            <w:pPr>
              <w:spacing w:line="360" w:lineRule="auto"/>
              <w:jc w:val="center"/>
              <w:rPr>
                <w:rFonts w:ascii="Times New Roman" w:hAnsi="Times New Roman" w:eastAsia="仿宋"/>
                <w:b/>
                <w:sz w:val="24"/>
              </w:rPr>
            </w:pPr>
            <w:r>
              <w:rPr>
                <w:rFonts w:ascii="Times New Roman" w:hAnsi="Times New Roman" w:eastAsia="仿宋"/>
                <w:b/>
                <w:sz w:val="24"/>
              </w:rPr>
              <w:t>A级</w:t>
            </w:r>
          </w:p>
        </w:tc>
        <w:tc>
          <w:tcPr>
            <w:tcW w:w="1508" w:type="dxa"/>
            <w:shd w:val="clear" w:color="auto" w:fill="auto"/>
          </w:tcPr>
          <w:p>
            <w:pPr>
              <w:spacing w:line="360" w:lineRule="auto"/>
              <w:jc w:val="center"/>
              <w:rPr>
                <w:rFonts w:ascii="Times New Roman" w:hAnsi="Times New Roman" w:eastAsia="仿宋"/>
                <w:b/>
                <w:sz w:val="24"/>
              </w:rPr>
            </w:pPr>
            <w:r>
              <w:rPr>
                <w:rFonts w:ascii="Times New Roman" w:hAnsi="Times New Roman" w:eastAsia="仿宋"/>
                <w:b/>
                <w:sz w:val="24"/>
              </w:rPr>
              <w:t>B级</w:t>
            </w:r>
          </w:p>
        </w:tc>
        <w:tc>
          <w:tcPr>
            <w:tcW w:w="1508" w:type="dxa"/>
            <w:shd w:val="clear" w:color="auto" w:fill="auto"/>
          </w:tcPr>
          <w:p>
            <w:pPr>
              <w:spacing w:line="360" w:lineRule="auto"/>
              <w:jc w:val="center"/>
              <w:rPr>
                <w:rFonts w:ascii="Times New Roman" w:hAnsi="Times New Roman" w:eastAsia="仿宋"/>
                <w:b/>
                <w:sz w:val="24"/>
              </w:rPr>
            </w:pPr>
            <w:r>
              <w:rPr>
                <w:rFonts w:ascii="Times New Roman" w:hAnsi="Times New Roman" w:eastAsia="仿宋"/>
                <w:b/>
                <w:sz w:val="24"/>
              </w:rPr>
              <w:t>C级</w:t>
            </w:r>
          </w:p>
        </w:tc>
        <w:tc>
          <w:tcPr>
            <w:tcW w:w="1511" w:type="dxa"/>
            <w:shd w:val="clear" w:color="auto" w:fill="auto"/>
          </w:tcPr>
          <w:p>
            <w:pPr>
              <w:spacing w:line="360" w:lineRule="auto"/>
              <w:jc w:val="center"/>
              <w:rPr>
                <w:rFonts w:ascii="Times New Roman" w:hAnsi="Times New Roman" w:eastAsia="仿宋"/>
                <w:b/>
                <w:sz w:val="24"/>
              </w:rPr>
            </w:pPr>
            <w:r>
              <w:rPr>
                <w:rFonts w:ascii="Times New Roman" w:hAnsi="Times New Roman" w:eastAsia="仿宋"/>
                <w:b/>
                <w:sz w:val="24"/>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shd w:val="clear" w:color="auto" w:fill="auto"/>
          </w:tcPr>
          <w:p>
            <w:pPr>
              <w:spacing w:line="360" w:lineRule="auto"/>
              <w:jc w:val="center"/>
              <w:rPr>
                <w:rFonts w:ascii="Times New Roman" w:hAnsi="Times New Roman" w:eastAsia="仿宋"/>
                <w:b/>
                <w:sz w:val="24"/>
              </w:rPr>
            </w:pPr>
            <w:r>
              <w:rPr>
                <w:rFonts w:ascii="Times New Roman" w:hAnsi="Times New Roman" w:eastAsia="仿宋"/>
                <w:b/>
                <w:sz w:val="24"/>
              </w:rPr>
              <w:t>指标数量（个）</w:t>
            </w:r>
          </w:p>
        </w:tc>
        <w:tc>
          <w:tcPr>
            <w:tcW w:w="1508" w:type="dxa"/>
            <w:shd w:val="clear" w:color="auto" w:fill="auto"/>
          </w:tcPr>
          <w:p>
            <w:pPr>
              <w:spacing w:line="360" w:lineRule="auto"/>
              <w:jc w:val="center"/>
              <w:rPr>
                <w:rFonts w:ascii="Times New Roman" w:hAnsi="Times New Roman" w:eastAsia="仿宋"/>
                <w:sz w:val="24"/>
              </w:rPr>
            </w:pPr>
            <w:r>
              <w:rPr>
                <w:rFonts w:ascii="Times New Roman" w:hAnsi="Times New Roman" w:eastAsia="仿宋"/>
                <w:sz w:val="24"/>
              </w:rPr>
              <w:t>17</w:t>
            </w:r>
          </w:p>
        </w:tc>
        <w:tc>
          <w:tcPr>
            <w:tcW w:w="1508" w:type="dxa"/>
            <w:shd w:val="clear" w:color="auto" w:fill="auto"/>
          </w:tcPr>
          <w:p>
            <w:pPr>
              <w:spacing w:line="360" w:lineRule="auto"/>
              <w:jc w:val="center"/>
              <w:rPr>
                <w:rFonts w:ascii="Times New Roman" w:hAnsi="Times New Roman" w:eastAsia="仿宋"/>
                <w:sz w:val="24"/>
              </w:rPr>
            </w:pPr>
            <w:r>
              <w:rPr>
                <w:rFonts w:ascii="Times New Roman" w:hAnsi="Times New Roman" w:eastAsia="仿宋"/>
                <w:sz w:val="24"/>
              </w:rPr>
              <w:t>24</w:t>
            </w:r>
          </w:p>
        </w:tc>
        <w:tc>
          <w:tcPr>
            <w:tcW w:w="1508" w:type="dxa"/>
            <w:shd w:val="clear" w:color="auto" w:fill="auto"/>
          </w:tcPr>
          <w:p>
            <w:pPr>
              <w:spacing w:line="360" w:lineRule="auto"/>
              <w:jc w:val="center"/>
              <w:rPr>
                <w:rFonts w:ascii="Times New Roman" w:hAnsi="Times New Roman" w:eastAsia="仿宋"/>
                <w:sz w:val="24"/>
              </w:rPr>
            </w:pPr>
            <w:r>
              <w:rPr>
                <w:rFonts w:ascii="Times New Roman" w:hAnsi="Times New Roman" w:eastAsia="仿宋"/>
                <w:sz w:val="24"/>
              </w:rPr>
              <w:t>22</w:t>
            </w:r>
          </w:p>
        </w:tc>
        <w:tc>
          <w:tcPr>
            <w:tcW w:w="1511" w:type="dxa"/>
            <w:shd w:val="clear" w:color="auto" w:fill="auto"/>
          </w:tcPr>
          <w:p>
            <w:pPr>
              <w:spacing w:line="360" w:lineRule="auto"/>
              <w:jc w:val="center"/>
              <w:rPr>
                <w:rFonts w:ascii="Times New Roman" w:hAnsi="Times New Roman" w:eastAsia="仿宋"/>
                <w:sz w:val="24"/>
              </w:rPr>
            </w:pPr>
            <w:r>
              <w:rPr>
                <w:rFonts w:ascii="Times New Roman" w:hAnsi="Times New Roman" w:eastAsia="仿宋"/>
                <w:sz w:val="24"/>
              </w:rPr>
              <w:t>27</w:t>
            </w:r>
          </w:p>
        </w:tc>
      </w:tr>
    </w:tbl>
    <w:p>
      <w:pPr>
        <w:spacing w:line="360" w:lineRule="auto"/>
        <w:rPr>
          <w:rFonts w:ascii="Times New Roman" w:hAnsi="Times New Roman" w:eastAsia="仿宋_GB2312"/>
          <w:b/>
          <w:sz w:val="28"/>
        </w:rPr>
      </w:pPr>
    </w:p>
    <w:tbl>
      <w:tblPr>
        <w:tblStyle w:val="19"/>
        <w:tblW w:w="50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872"/>
        <w:gridCol w:w="5214"/>
        <w:gridCol w:w="2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spacing w:line="276" w:lineRule="auto"/>
              <w:jc w:val="center"/>
              <w:rPr>
                <w:rFonts w:ascii="Times New Roman" w:hAnsi="Times New Roman" w:eastAsia="仿宋_GB2312"/>
                <w:b/>
                <w:sz w:val="24"/>
              </w:rPr>
            </w:pPr>
            <w:r>
              <w:rPr>
                <w:rFonts w:ascii="Times New Roman" w:hAnsi="Times New Roman" w:eastAsia="仿宋_GB2312"/>
                <w:b/>
                <w:sz w:val="24"/>
                <w:szCs w:val="24"/>
              </w:rPr>
              <w:t>序号</w:t>
            </w:r>
          </w:p>
        </w:tc>
        <w:tc>
          <w:tcPr>
            <w:tcW w:w="466" w:type="pct"/>
            <w:vAlign w:val="center"/>
          </w:tcPr>
          <w:p>
            <w:pPr>
              <w:spacing w:line="276" w:lineRule="auto"/>
              <w:jc w:val="center"/>
              <w:rPr>
                <w:rFonts w:ascii="Times New Roman" w:hAnsi="Times New Roman" w:eastAsia="仿宋_GB2312"/>
                <w:b/>
                <w:sz w:val="24"/>
              </w:rPr>
            </w:pPr>
            <w:r>
              <w:rPr>
                <w:rFonts w:ascii="Times New Roman" w:hAnsi="Times New Roman" w:eastAsia="仿宋_GB2312"/>
                <w:b/>
                <w:sz w:val="24"/>
                <w:szCs w:val="24"/>
              </w:rPr>
              <w:t>等级</w:t>
            </w:r>
          </w:p>
        </w:tc>
        <w:tc>
          <w:tcPr>
            <w:tcW w:w="2783" w:type="pct"/>
            <w:vAlign w:val="center"/>
          </w:tcPr>
          <w:p>
            <w:pPr>
              <w:spacing w:line="276" w:lineRule="auto"/>
              <w:jc w:val="center"/>
              <w:rPr>
                <w:rFonts w:ascii="Times New Roman" w:hAnsi="Times New Roman" w:eastAsia="仿宋_GB2312"/>
                <w:b/>
                <w:sz w:val="24"/>
              </w:rPr>
            </w:pPr>
            <w:r>
              <w:rPr>
                <w:rFonts w:ascii="Times New Roman" w:hAnsi="Times New Roman" w:eastAsia="仿宋_GB2312"/>
                <w:b/>
                <w:sz w:val="24"/>
                <w:szCs w:val="24"/>
              </w:rPr>
              <w:t>评分指标</w:t>
            </w:r>
          </w:p>
        </w:tc>
        <w:tc>
          <w:tcPr>
            <w:tcW w:w="1291" w:type="pct"/>
            <w:vAlign w:val="center"/>
          </w:tcPr>
          <w:p>
            <w:pPr>
              <w:spacing w:line="276" w:lineRule="auto"/>
              <w:jc w:val="center"/>
              <w:rPr>
                <w:rFonts w:ascii="Times New Roman" w:hAnsi="Times New Roman" w:eastAsia="仿宋_GB2312"/>
                <w:b/>
                <w:sz w:val="24"/>
              </w:rPr>
            </w:pPr>
            <w:r>
              <w:rPr>
                <w:rFonts w:ascii="Times New Roman" w:hAnsi="Times New Roman" w:eastAsia="仿宋_GB2312"/>
                <w:b/>
                <w:sz w:val="24"/>
                <w:szCs w:val="24"/>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受到房地产主管部门行政处罚的。</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拒不履行生效判决、裁决、裁定和行政主管部门做出的行政决定。</w:t>
            </w:r>
          </w:p>
        </w:tc>
        <w:tc>
          <w:tcPr>
            <w:tcW w:w="1291" w:type="pct"/>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骗取、出租、出借、伪造、买卖业务水平认证证书或信用信息卡。</w:t>
            </w:r>
          </w:p>
        </w:tc>
        <w:tc>
          <w:tcPr>
            <w:tcW w:w="1291" w:type="pct"/>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为禁止转让、抵押的房地产提供转让、抵押中介服务。</w:t>
            </w:r>
          </w:p>
        </w:tc>
        <w:tc>
          <w:tcPr>
            <w:tcW w:w="1291" w:type="pct"/>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《中介条例》第二十四条第(五)款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为不符合交易条件的保障性住房和禁止交易的房屋提供经纪服务。</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《经纪办法》第二十五条第(九）款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从业人员同时在两个或两个以上房地产经纪机构中执业的。</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非法收集、使用、买卖或者泄露在交易或者提供服务过程中获得的个人信息、商业秘密。</w:t>
            </w:r>
          </w:p>
        </w:tc>
        <w:tc>
          <w:tcPr>
            <w:tcW w:w="1291" w:type="pct"/>
            <w:vAlign w:val="center"/>
          </w:tcPr>
          <w:p>
            <w:pPr>
              <w:pStyle w:val="5"/>
              <w:spacing w:line="276" w:lineRule="auto"/>
              <w:ind w:firstLine="0" w:firstLineChars="0"/>
              <w:rPr>
                <w:rFonts w:eastAsia="仿宋"/>
                <w:b/>
                <w:bCs/>
                <w:kern w:val="0"/>
                <w:sz w:val="24"/>
              </w:rPr>
            </w:pPr>
            <w:r>
              <w:rPr>
                <w:rFonts w:eastAsia="仿宋"/>
                <w:sz w:val="24"/>
              </w:rPr>
              <w:t>《监督办法》第十条；《经纪办法》第二十五条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房地产中介服务人员以个人名义接受委托，提供中介服务。</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《经纪办法》第十四条；《中介条例》第二十三条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从业人员不通过所在机构，私自收取服务报酬或占用交易资金。</w:t>
            </w:r>
          </w:p>
        </w:tc>
        <w:tc>
          <w:tcPr>
            <w:tcW w:w="1291" w:type="pct"/>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与一方当事人串通损害另一方当事人利益。</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《中介条例》第二十四条第(三)款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对交易当事人隐瞒真实的房屋交易信息，低价收进高价卖(租)出房屋赚取差价。</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提供虚假材料或者隐瞒真实情况。</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《中介条例》第二十四条（二）款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以隐瞒、欺诈、胁迫、贿赂等不正当手段招揽业务，诱骗消费者交易或者强制交易。</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房地产中介服务机构及其从业人员代收代管存量房交易资金。</w:t>
            </w:r>
          </w:p>
        </w:tc>
        <w:tc>
          <w:tcPr>
            <w:tcW w:w="1291" w:type="pct"/>
            <w:vAlign w:val="center"/>
          </w:tcPr>
          <w:p>
            <w:pPr>
              <w:pStyle w:val="5"/>
              <w:spacing w:line="276" w:lineRule="auto"/>
              <w:ind w:firstLine="0" w:firstLineChars="0"/>
              <w:rPr>
                <w:rFonts w:eastAsia="仿宋"/>
                <w:b/>
                <w:bCs/>
                <w:kern w:val="0"/>
                <w:sz w:val="24"/>
              </w:rPr>
            </w:pPr>
            <w:r>
              <w:rPr>
                <w:rFonts w:eastAsia="仿宋"/>
                <w:sz w:val="24"/>
              </w:rPr>
              <w:t>《监督办法》第二十八条第二款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侵占、挪用房地产交易资金。</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《经纪办法》第二十五条第(七) 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法律、法规禁止的其他行为。</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《中介条例》第二十四条第（六）款、《经纪办法》第二十五条第（六）款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A</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房地产中介服务机构及其从业人员提供房屋交易服务时，未依法查验并书面告知当事人：房地产中介服务机构及其从业人员与当事人是否存在利害关系。</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《监督办法》第二十一条 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受到房地产主管部门行政处理的。</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拒绝参加行政部门或协会执业整改约谈的。</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pPr>
              <w:numPr>
                <w:ilvl w:val="0"/>
                <w:numId w:val="12"/>
              </w:numPr>
              <w:snapToGrid w:val="0"/>
              <w:spacing w:line="276" w:lineRule="auto"/>
              <w:jc w:val="center"/>
              <w:rPr>
                <w:rFonts w:ascii="Times New Roman" w:hAnsi="Times New Roman" w:eastAsia="仿宋"/>
                <w:sz w:val="24"/>
              </w:rPr>
            </w:pPr>
          </w:p>
        </w:tc>
        <w:tc>
          <w:tcPr>
            <w:tcW w:w="466" w:type="pct"/>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受到房地产主管部门以外的其他行政部门做出的行政处罚。</w:t>
            </w:r>
          </w:p>
        </w:tc>
        <w:tc>
          <w:tcPr>
            <w:tcW w:w="1291" w:type="pct"/>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bCs/>
                <w:sz w:val="24"/>
              </w:rPr>
            </w:pPr>
            <w:r>
              <w:rPr>
                <w:rFonts w:ascii="Times New Roman" w:hAnsi="Times New Roman" w:eastAsia="仿宋"/>
                <w:bCs/>
                <w:sz w:val="24"/>
                <w:szCs w:val="24"/>
              </w:rPr>
              <w:t>连续2年年度信用等级结果为预警的。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bCs/>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bCs/>
                <w:sz w:val="24"/>
              </w:rPr>
            </w:pPr>
            <w:r>
              <w:rPr>
                <w:rFonts w:ascii="Times New Roman" w:hAnsi="Times New Roman" w:eastAsia="仿宋"/>
                <w:bCs/>
                <w:sz w:val="24"/>
                <w:szCs w:val="24"/>
              </w:rPr>
              <w:t>提供虚假信用评分评级证明资料。</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bCs/>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上年年度信用等级为失信的。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因执行房地产经纪业务中的故意或重大过失，给所在机构造成较大损失的。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提供融资或者协助购房人办理各种形式的贷款、融资用于购房首付款。</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房地产中介服务机构及其从业人员提供房屋交易中介服务时，未如实告知当事人房屋交易相关情况和本市房地产政策相关规定；</w:t>
            </w:r>
          </w:p>
        </w:tc>
        <w:tc>
          <w:tcPr>
            <w:tcW w:w="1291" w:type="pct"/>
            <w:tcBorders>
              <w:top w:val="single" w:color="auto" w:sz="4" w:space="0"/>
              <w:left w:val="single" w:color="auto" w:sz="4" w:space="0"/>
              <w:right w:val="single" w:color="auto" w:sz="4" w:space="0"/>
            </w:tcBorders>
            <w:vAlign w:val="center"/>
          </w:tcPr>
          <w:p>
            <w:pPr>
              <w:pStyle w:val="5"/>
              <w:spacing w:line="276" w:lineRule="auto"/>
              <w:ind w:firstLine="0" w:firstLineChars="0"/>
              <w:rPr>
                <w:rFonts w:eastAsia="仿宋"/>
                <w:sz w:val="24"/>
              </w:rPr>
            </w:pPr>
            <w:r>
              <w:rPr>
                <w:rFonts w:eastAsia="仿宋"/>
                <w:sz w:val="24"/>
              </w:rPr>
              <w:t>《监督办法》第二十六条第一款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为违反法律、法规、规章和政策的房屋交易提供服务。</w:t>
            </w:r>
          </w:p>
        </w:tc>
        <w:tc>
          <w:tcPr>
            <w:tcW w:w="1291" w:type="pct"/>
            <w:tcBorders>
              <w:left w:val="single" w:color="auto" w:sz="4" w:space="0"/>
              <w:bottom w:val="single" w:color="auto" w:sz="4" w:space="0"/>
              <w:right w:val="single" w:color="auto" w:sz="4" w:space="0"/>
            </w:tcBorders>
            <w:vAlign w:val="center"/>
          </w:tcPr>
          <w:p>
            <w:pPr>
              <w:pStyle w:val="5"/>
              <w:spacing w:line="276" w:lineRule="auto"/>
              <w:ind w:firstLine="0" w:firstLineChars="0"/>
              <w:rPr>
                <w:rFonts w:eastAsia="仿宋"/>
                <w:sz w:val="24"/>
              </w:rPr>
            </w:pPr>
            <w:r>
              <w:rPr>
                <w:rFonts w:eastAsia="仿宋"/>
                <w:sz w:val="24"/>
              </w:rPr>
              <w:t>《监督办法》第二十六条第一款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right w:val="single" w:color="auto" w:sz="4" w:space="0"/>
            </w:tcBorders>
            <w:vAlign w:val="center"/>
          </w:tcPr>
          <w:p>
            <w:pPr>
              <w:numPr>
                <w:ilvl w:val="0"/>
                <w:numId w:val="12"/>
              </w:numPr>
              <w:snapToGrid w:val="0"/>
              <w:spacing w:line="276" w:lineRule="auto"/>
              <w:rPr>
                <w:rFonts w:ascii="Times New Roman" w:hAnsi="Times New Roman" w:eastAsia="仿宋"/>
                <w:sz w:val="24"/>
              </w:rPr>
            </w:pPr>
          </w:p>
        </w:tc>
        <w:tc>
          <w:tcPr>
            <w:tcW w:w="466"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right w:val="single" w:color="auto" w:sz="4" w:space="0"/>
            </w:tcBorders>
            <w:vAlign w:val="center"/>
          </w:tcPr>
          <w:p>
            <w:pPr>
              <w:pStyle w:val="17"/>
              <w:spacing w:beforeAutospacing="0" w:afterAutospacing="0" w:line="276" w:lineRule="auto"/>
              <w:rPr>
                <w:rFonts w:ascii="Times New Roman" w:hAnsi="Times New Roman" w:eastAsia="仿宋" w:cs="Times New Roman"/>
                <w:b/>
                <w:bCs/>
              </w:rPr>
            </w:pPr>
            <w:r>
              <w:rPr>
                <w:rFonts w:ascii="Times New Roman" w:hAnsi="Times New Roman" w:eastAsia="仿宋" w:cs="Times New Roman"/>
                <w:shd w:val="clear" w:color="auto" w:fill="FFFFFF"/>
              </w:rPr>
              <w:t>房地产中介服务机构及其从业人员提供房屋交易服务时，未依法查验并书面告知当事人：出售房屋的当事人对房屋的处分权；</w:t>
            </w:r>
          </w:p>
        </w:tc>
        <w:tc>
          <w:tcPr>
            <w:tcW w:w="1291" w:type="pct"/>
            <w:tcBorders>
              <w:top w:val="single" w:color="auto" w:sz="4" w:space="0"/>
              <w:left w:val="single" w:color="auto" w:sz="4" w:space="0"/>
              <w:right w:val="single" w:color="auto" w:sz="4" w:space="0"/>
            </w:tcBorders>
            <w:vAlign w:val="center"/>
          </w:tcPr>
          <w:p>
            <w:pPr>
              <w:pStyle w:val="5"/>
              <w:spacing w:line="276" w:lineRule="auto"/>
              <w:ind w:firstLine="0" w:firstLineChars="0"/>
              <w:rPr>
                <w:rFonts w:eastAsia="仿宋"/>
                <w:b/>
                <w:bCs/>
                <w:kern w:val="0"/>
                <w:sz w:val="24"/>
              </w:rPr>
            </w:pPr>
            <w:r>
              <w:rPr>
                <w:rFonts w:eastAsia="仿宋"/>
                <w:sz w:val="24"/>
              </w:rPr>
              <w:t>《监督办法》第二十一条第二款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left w:val="single" w:color="auto" w:sz="4" w:space="0"/>
              <w:right w:val="single" w:color="auto" w:sz="4" w:space="0"/>
            </w:tcBorders>
            <w:vAlign w:val="center"/>
          </w:tcPr>
          <w:p>
            <w:pPr>
              <w:pStyle w:val="17"/>
              <w:spacing w:beforeAutospacing="0" w:afterAutospacing="0" w:line="276" w:lineRule="auto"/>
              <w:rPr>
                <w:rFonts w:ascii="Times New Roman" w:hAnsi="Times New Roman" w:eastAsia="仿宋" w:cs="Times New Roman"/>
                <w:b/>
                <w:bCs/>
              </w:rPr>
            </w:pPr>
            <w:r>
              <w:rPr>
                <w:rFonts w:ascii="Times New Roman" w:hAnsi="Times New Roman" w:eastAsia="仿宋" w:cs="Times New Roman"/>
                <w:shd w:val="clear" w:color="auto" w:fill="FFFFFF"/>
              </w:rPr>
              <w:t>房地产中介服务机构及其从业人员提供房屋交易服务时，未依法查验并书面告知当事人：当事人及其代理人的身份和权限；</w:t>
            </w:r>
          </w:p>
        </w:tc>
        <w:tc>
          <w:tcPr>
            <w:tcW w:w="1291" w:type="pct"/>
            <w:tcBorders>
              <w:left w:val="single" w:color="auto" w:sz="4" w:space="0"/>
              <w:right w:val="single" w:color="auto" w:sz="4" w:space="0"/>
            </w:tcBorders>
            <w:vAlign w:val="center"/>
          </w:tcPr>
          <w:p>
            <w:pPr>
              <w:pStyle w:val="5"/>
              <w:spacing w:line="276" w:lineRule="auto"/>
              <w:ind w:firstLine="0" w:firstLineChars="0"/>
              <w:rPr>
                <w:rFonts w:eastAsia="仿宋"/>
                <w:sz w:val="24"/>
              </w:rPr>
            </w:pPr>
            <w:r>
              <w:rPr>
                <w:rFonts w:eastAsia="仿宋"/>
                <w:sz w:val="24"/>
              </w:rPr>
              <w:t>《监督办法》第二十一条第二款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泄露或者不当使用委托人的个人信息或者商业秘密，谋取不正当利益。</w:t>
            </w:r>
          </w:p>
        </w:tc>
        <w:tc>
          <w:tcPr>
            <w:tcW w:w="1291" w:type="pct"/>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以诋毁其他房地产中介服务人员、机构或者支付介绍费等不正当手段争揽业务。</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《中介条例》第二十四条第（四）款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bCs/>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采取胁迫、恶意串通、阻断他人交易、恶意挖抢同行房源客源、恶性低收费、帮助当事人规避交易税费、贬低同行、虚假宣传等不正当手段招揽、承接房地产经纪业务。</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行业自律，《执业规则》第十四条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bCs/>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发生与同行打架、斗殴情形的。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捏造散布涨价信息，或者与房地产开发经营单位串通捂盘惜售、炒卖房号，操纵市场价格。</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承购、承租自己提供经纪服务的房屋。</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《经纪办法》第二十五条第(八）款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为交易当事人规避</w:t>
            </w:r>
            <w:r>
              <w:fldChar w:fldCharType="begin"/>
            </w:r>
            <w:r>
              <w:instrText xml:space="preserve"> HYPERLINK "https://baike.so.com/doc/4643788-4856797.html" \t "_blank" </w:instrText>
            </w:r>
            <w:r>
              <w:fldChar w:fldCharType="separate"/>
            </w:r>
            <w:r>
              <w:rPr>
                <w:rFonts w:ascii="Times New Roman" w:hAnsi="Times New Roman" w:eastAsia="仿宋"/>
                <w:sz w:val="24"/>
                <w:szCs w:val="24"/>
              </w:rPr>
              <w:t>房屋交易税费</w:t>
            </w:r>
            <w:r>
              <w:rPr>
                <w:rFonts w:ascii="Times New Roman" w:hAnsi="Times New Roman" w:eastAsia="仿宋"/>
                <w:sz w:val="24"/>
                <w:szCs w:val="24"/>
              </w:rPr>
              <w:fldChar w:fldCharType="end"/>
            </w:r>
            <w:r>
              <w:rPr>
                <w:rFonts w:ascii="Times New Roman" w:hAnsi="Times New Roman" w:eastAsia="仿宋"/>
                <w:sz w:val="24"/>
                <w:szCs w:val="24"/>
              </w:rPr>
              <w:t>等非法目的，就同一房屋签订不同交易价款的合同提供便利。</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《经纪办法》第二十五条第(五)款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【单位负刑事责任的范围】公司、企业、事业单位、机关、团体实施的危害社会的行为，法律规定为单位犯罪的，应当负刑事责任。</w:t>
            </w:r>
          </w:p>
          <w:p>
            <w:pPr>
              <w:snapToGrid w:val="0"/>
              <w:spacing w:line="276" w:lineRule="auto"/>
              <w:jc w:val="left"/>
              <w:rPr>
                <w:rFonts w:ascii="Times New Roman" w:hAnsi="Times New Roman" w:eastAsia="仿宋"/>
                <w:sz w:val="24"/>
              </w:rPr>
            </w:pPr>
            <w:r>
              <w:rPr>
                <w:rFonts w:ascii="Times New Roman" w:hAnsi="Times New Roman" w:eastAsia="仿宋"/>
                <w:sz w:val="24"/>
                <w:szCs w:val="24"/>
              </w:rPr>
              <w:t>【单位犯罪的处罚原则】单位犯罪的，对单位判处罚金，并对其直接负责的主管人员和其他直接责任人员判处刑罚。本法分则和其他法律另有规定的，依照规定。</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《刑法》第三十条、三十一条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ascii="Times New Roman" w:hAnsi="Times New Roman" w:eastAsia="仿宋"/>
                <w:sz w:val="24"/>
              </w:rPr>
            </w:pPr>
            <w:r>
              <w:rPr>
                <w:rFonts w:ascii="Times New Roman" w:hAnsi="Times New Roman" w:eastAsia="仿宋"/>
                <w:sz w:val="24"/>
                <w:szCs w:val="24"/>
              </w:rPr>
              <w:t>为交易当事人骗取购房资格提供便利；</w:t>
            </w:r>
          </w:p>
          <w:p>
            <w:pPr>
              <w:spacing w:line="276" w:lineRule="auto"/>
              <w:jc w:val="left"/>
              <w:rPr>
                <w:rFonts w:ascii="Times New Roman" w:hAnsi="Times New Roman" w:eastAsia="仿宋"/>
                <w:sz w:val="24"/>
              </w:rPr>
            </w:pPr>
          </w:p>
        </w:tc>
        <w:tc>
          <w:tcPr>
            <w:tcW w:w="1291" w:type="pct"/>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《执业规则》第二十七条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57" w:type="pct"/>
            <w:tcBorders>
              <w:top w:val="single" w:color="auto" w:sz="4" w:space="0"/>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right w:val="single" w:color="auto" w:sz="4" w:space="0"/>
            </w:tcBorders>
            <w:vAlign w:val="center"/>
          </w:tcPr>
          <w:p>
            <w:pPr>
              <w:spacing w:line="276" w:lineRule="auto"/>
              <w:jc w:val="left"/>
              <w:rPr>
                <w:rFonts w:ascii="Times New Roman" w:hAnsi="Times New Roman" w:eastAsia="仿宋"/>
                <w:sz w:val="24"/>
              </w:rPr>
            </w:pPr>
            <w:r>
              <w:rPr>
                <w:rFonts w:ascii="Times New Roman" w:hAnsi="Times New Roman" w:eastAsia="仿宋"/>
                <w:sz w:val="24"/>
                <w:szCs w:val="24"/>
              </w:rPr>
              <w:t>采取假赠与、假借公证委托售房等手段规避国家相关规定。</w:t>
            </w:r>
          </w:p>
        </w:tc>
        <w:tc>
          <w:tcPr>
            <w:tcW w:w="1291" w:type="pct"/>
            <w:tcBorders>
              <w:top w:val="single" w:color="auto" w:sz="4" w:space="0"/>
              <w:left w:val="single" w:color="auto" w:sz="4" w:space="0"/>
              <w:right w:val="single" w:color="auto" w:sz="4" w:space="0"/>
            </w:tcBorders>
            <w:vAlign w:val="center"/>
          </w:tcPr>
          <w:p>
            <w:pPr>
              <w:spacing w:line="276" w:lineRule="auto"/>
              <w:jc w:val="center"/>
              <w:rPr>
                <w:rFonts w:ascii="Times New Roman" w:hAnsi="Times New Roman" w:eastAsia="仿宋"/>
                <w:sz w:val="24"/>
                <w:szCs w:val="24"/>
              </w:rPr>
            </w:pPr>
            <w:r>
              <w:rPr>
                <w:rFonts w:ascii="Times New Roman" w:hAnsi="Times New Roman" w:eastAsia="仿宋"/>
                <w:sz w:val="24"/>
                <w:szCs w:val="24"/>
              </w:rPr>
              <w:t>《执业规则》第二十七条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房地产中介服务机构代理销售不符合销售条件的商品房的；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《销售办法》第二十七条第二款及第四十三条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B</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单位和个人为房地产开发企业提供商品房销售服务的，除收取房地产开发企业支付的费用以外，以提供中介服务等名义向买受人变相收取电商费、团购费、服务费、咨询费等费用。</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《监管办法》第十三条第三款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对行政部门依法定程序进行的行政行为不配合的。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发生集体投诉，中介机构未对投诉事件进行妥善处理；</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机构纵容、唆使或发现未阻止经纪人的不良信用行为。</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bCs/>
                <w:sz w:val="24"/>
              </w:rPr>
            </w:pPr>
            <w:r>
              <w:rPr>
                <w:rFonts w:ascii="Times New Roman" w:hAnsi="Times New Roman" w:eastAsia="仿宋"/>
                <w:bCs/>
                <w:sz w:val="24"/>
                <w:szCs w:val="24"/>
              </w:rPr>
              <w:t>同一失信行为，在同一计分周期内，连续出现两次及以上的。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bCs/>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bCs/>
                <w:sz w:val="24"/>
              </w:rPr>
            </w:pPr>
            <w:r>
              <w:rPr>
                <w:rFonts w:ascii="Times New Roman" w:hAnsi="Times New Roman" w:eastAsia="仿宋"/>
                <w:bCs/>
                <w:sz w:val="24"/>
                <w:szCs w:val="24"/>
              </w:rPr>
              <w:t>中介机构获授权使用第三方品牌（或商标），未按规定在房地产中介信用管理系统中如实填写（或变更）本机构使用品牌（或商标）名称的；未获第三方品牌（或商标）授权，擅自填写该品牌名称的。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bCs/>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bCs/>
                <w:sz w:val="24"/>
              </w:rPr>
            </w:pPr>
            <w:r>
              <w:rPr>
                <w:rFonts w:ascii="Times New Roman" w:hAnsi="Times New Roman" w:eastAsia="仿宋"/>
                <w:sz w:val="24"/>
                <w:szCs w:val="24"/>
              </w:rPr>
              <w:t>经纪人未按时完成业务水平认证继续教育年度检查的。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bCs/>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破坏业务水平认证工作秩序，如考试作弊、泄露题目等。</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行业自律、《水平认证办法》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未按当事人要求查验或提供房屋相关信息的。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交易过程中，无正当理由拒绝提供《存量房买卖合同》、《房屋租赁合同》、《中介服务费（或佣金）确认书》等重要交易资料。</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房地产经纪机构提供代办贷款、代办房地产登记等其他服务，未向委托人说明服务内容、收费标准等情况，并未经委托人同意的。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《经纪办法》第三十三条第(二)款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房地产中介服务机构未经委托人同意，将受委托的中介服务业务转托给其他中介服务机构。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pStyle w:val="17"/>
              <w:adjustRightInd w:val="0"/>
              <w:snapToGrid w:val="0"/>
              <w:spacing w:beforeAutospacing="0" w:afterAutospacing="0" w:line="276" w:lineRule="auto"/>
              <w:rPr>
                <w:rFonts w:ascii="Times New Roman" w:hAnsi="Times New Roman" w:eastAsia="仿宋" w:cs="Times New Roman"/>
              </w:rPr>
            </w:pPr>
            <w:r>
              <w:rPr>
                <w:rFonts w:ascii="Times New Roman" w:hAnsi="Times New Roman" w:eastAsia="仿宋" w:cs="Times New Roman"/>
                <w:kern w:val="2"/>
              </w:rPr>
              <w:t>房地产经纪机构和人员不得利用虚假的房源、客源、价格等信息引诱客户。</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《执业规则》第十四条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索取合同以外的酬金或者其他财物。</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《中介条例》第二十四条第(一)款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收取房地产中介服务费未开具发票。</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无合法依据为当事人进行系统操作或者拒绝为当事人进行系统操作。</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《网签规则》第十九条第（七）款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网上交易系统操作反复失误，直接或者间接影响双方当事人交易。</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《网签规则》第十九条第（八）项规定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为下列情形之一的房屋出租提供中介服务：（一）属于违法建筑的；（二）不符合安全、防灾等工程建设强制性标准的；（三）违反规定改变房屋使用性质的；（四）法律、法规规定禁止出租的其他情形。</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《租赁办法》第六条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向无身份证明的自然人、法人或者其他组织出租房屋。</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trike/>
                <w:sz w:val="24"/>
                <w:szCs w:val="24"/>
              </w:rPr>
            </w:pPr>
            <w:r>
              <w:rPr>
                <w:rFonts w:ascii="Times New Roman" w:hAnsi="Times New Roman" w:eastAsia="仿宋"/>
                <w:sz w:val="24"/>
                <w:szCs w:val="24"/>
              </w:rPr>
              <w:t>《租赁规定》第十条第二款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在房地产主管部门或协会对投诉案件展开调查过程中作出虚假陈述等。</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在居间服务过程中，提供错误的交易信息（包括但不限于：贷款额度、贷款年限、税费税率等），误导交易当事人或令交易当事人造成损失的。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tabs>
                <w:tab w:val="left" w:pos="2924"/>
              </w:tabs>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房地产中介服务收费未按照国家规定明码标价。</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C</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shd w:val="clear" w:color="auto" w:fill="FFFFFF"/>
              </w:rPr>
              <w:t>房地产中介服务机构及其从业人员提供房屋交易服务时，未依法查验并书面告知当事人：房地产登记资料查询机构出具的房地产自然状况及查封、抵押等权利限制情况；</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《监督办法》第二十六条 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房地产中介服务机构接受房屋出售人委托发布房源信息的，未通过房屋交易信息化平台签订委托服务合同，取得房源信息编码。</w:t>
            </w:r>
          </w:p>
        </w:tc>
        <w:tc>
          <w:tcPr>
            <w:tcW w:w="1291" w:type="pct"/>
            <w:tcBorders>
              <w:top w:val="single" w:color="auto" w:sz="4" w:space="0"/>
              <w:left w:val="single" w:color="auto" w:sz="4" w:space="0"/>
              <w:bottom w:val="single" w:color="auto" w:sz="4" w:space="0"/>
              <w:right w:val="single" w:color="auto" w:sz="4" w:space="0"/>
            </w:tcBorders>
            <w:vAlign w:val="center"/>
          </w:tcPr>
          <w:p>
            <w:pPr>
              <w:pStyle w:val="5"/>
              <w:spacing w:line="276" w:lineRule="auto"/>
              <w:ind w:firstLine="0" w:firstLineChars="0"/>
              <w:rPr>
                <w:rFonts w:eastAsia="仿宋"/>
                <w:b/>
                <w:bCs/>
                <w:kern w:val="0"/>
                <w:sz w:val="24"/>
              </w:rPr>
            </w:pPr>
            <w:r>
              <w:rPr>
                <w:rFonts w:eastAsia="仿宋"/>
                <w:sz w:val="24"/>
              </w:rPr>
              <w:t>《监管办法》第二十四条第一款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为以下情形的房屋提供中介服务：出租住宅的，居住空间的最小出租单位和人均使用面积等应当符合本市住房租赁标准的规定；</w:t>
            </w:r>
          </w:p>
        </w:tc>
        <w:tc>
          <w:tcPr>
            <w:tcW w:w="1291"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《租赁规定》第十条第四款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为以下情形的房屋提供中介服务：厨房、卫生间、阳台、地下储藏室等原始设计为非居住用途的空间，单独出租供人居住。</w:t>
            </w:r>
          </w:p>
        </w:tc>
        <w:tc>
          <w:tcPr>
            <w:tcW w:w="1291"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《租赁规定》第十条第五款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拒绝配合行政部门或协会开展投诉纠纷调查的。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聘用信用等级为失信的经纪人。</w:t>
            </w:r>
          </w:p>
          <w:p>
            <w:pPr>
              <w:snapToGrid w:val="0"/>
              <w:spacing w:line="276" w:lineRule="auto"/>
              <w:jc w:val="left"/>
              <w:rPr>
                <w:rFonts w:ascii="Times New Roman" w:hAnsi="Times New Roman" w:eastAsia="仿宋"/>
                <w:sz w:val="24"/>
              </w:rPr>
            </w:pPr>
            <w:r>
              <w:rPr>
                <w:rFonts w:ascii="Times New Roman" w:hAnsi="Times New Roman" w:eastAsia="仿宋"/>
                <w:sz w:val="24"/>
                <w:szCs w:val="24"/>
              </w:rPr>
              <w:t>（注：指新聘用，任职期间的不适用）</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经纪人执行职务过程中的不良信用行为，机构存在管理过失的。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扣押经纪人的业务水平证书或其它身份证明。</w:t>
            </w:r>
          </w:p>
          <w:p>
            <w:pPr>
              <w:snapToGrid w:val="0"/>
              <w:spacing w:line="276" w:lineRule="auto"/>
              <w:jc w:val="left"/>
              <w:rPr>
                <w:rFonts w:ascii="Times New Roman" w:hAnsi="Times New Roman" w:eastAsia="仿宋"/>
                <w:sz w:val="24"/>
              </w:rPr>
            </w:pPr>
            <w:r>
              <w:rPr>
                <w:rFonts w:ascii="Times New Roman" w:hAnsi="Times New Roman" w:eastAsia="仿宋"/>
                <w:sz w:val="24"/>
                <w:szCs w:val="24"/>
              </w:rPr>
              <w:t>（注：以具体投诉为准）</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经纪机构和人员未经信息接收者、被访者同意或者请求，或者信息接收者、被访者明确表示拒绝的，不得向其固定电话、移动电话或者个人电子邮箱发送房源、客源信息，不得拨打其电话、上门推销房源、客源或者招揽业务。</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违反当事人意愿或未按约定强行带客看房。</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不得采取威胁、恐吓等手段驱逐承租人，变相或恶意克扣保证金、预定金等。</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房地产经纪机构签订的房地产经纪服务合同，未加盖房地产经纪机构印章。</w:t>
            </w:r>
          </w:p>
        </w:tc>
        <w:tc>
          <w:tcPr>
            <w:tcW w:w="1291"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7" w:type="pct"/>
            <w:tcBorders>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房地产经纪服务合同未由从事该业务的一名房地产经纪人或者两名房地产经纪人协理签名的。</w:t>
            </w:r>
          </w:p>
        </w:tc>
        <w:tc>
          <w:tcPr>
            <w:tcW w:w="1291"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在网上交易系统外交易。</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不通过网上交易系统验证房屋信息。</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提供虚假房地产中介服务，签订虚假房地产中介服务合同。</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签订虚假存量房买卖合同。</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未按《网签规则》第十五条规定妥善保管相关材料。</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《网签规则》第十九条第（十一）款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中介机构未按规定为从事房地产中介业务人员办理《广州市房地产中介服务人员信用信息卡》的。</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《房地产中介信用管理暂行规定》第六条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从业人员提供中介服务时，未佩戴《广州市房地产中介服务人员信用信息卡》。</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《房地产中介信用管理暂行规定》第七条、</w:t>
            </w:r>
          </w:p>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房地产中介服务机构开展业务未设立业务台帐，做好业务记录。业务台帐和业务记录未载明业务活动中的收入、支出，以及法律、法规要求载明的其他内容。</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trike/>
                <w:sz w:val="24"/>
                <w:szCs w:val="24"/>
              </w:rPr>
            </w:pPr>
            <w:r>
              <w:rPr>
                <w:rFonts w:ascii="Times New Roman" w:hAnsi="Times New Roman" w:eastAsia="仿宋"/>
                <w:sz w:val="24"/>
                <w:szCs w:val="24"/>
              </w:rPr>
              <w:t>《中介条例》第二十一条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top w:val="single" w:color="auto" w:sz="4" w:space="0"/>
              <w:left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房地产中介服务机构未在其经营场所或者收费地点的醒目位置公布其收费项目、服务内容、计费方法、收费标准等事项。</w:t>
            </w:r>
          </w:p>
        </w:tc>
        <w:tc>
          <w:tcPr>
            <w:tcW w:w="1291" w:type="pct"/>
            <w:tcBorders>
              <w:top w:val="single" w:color="auto" w:sz="4" w:space="0"/>
              <w:left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《中介条例》第二十条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bottom w:val="single" w:color="auto" w:sz="4" w:space="0"/>
              <w:right w:val="single" w:color="auto" w:sz="4" w:space="0"/>
            </w:tcBorders>
            <w:vAlign w:val="center"/>
          </w:tcPr>
          <w:p>
            <w:pPr>
              <w:pStyle w:val="5"/>
              <w:spacing w:line="276" w:lineRule="auto"/>
              <w:ind w:firstLine="0" w:firstLineChars="0"/>
              <w:jc w:val="center"/>
              <w:rPr>
                <w:rFonts w:eastAsia="仿宋"/>
                <w:b/>
                <w:sz w:val="24"/>
              </w:rPr>
            </w:pPr>
            <w:r>
              <w:rPr>
                <w:rFonts w:eastAsia="仿宋"/>
                <w:b/>
                <w:kern w:val="0"/>
                <w:sz w:val="24"/>
              </w:rPr>
              <w:t>D</w:t>
            </w:r>
          </w:p>
        </w:tc>
        <w:tc>
          <w:tcPr>
            <w:tcW w:w="2783" w:type="pct"/>
            <w:tcBorders>
              <w:left w:val="single" w:color="auto" w:sz="4" w:space="0"/>
              <w:bottom w:val="single" w:color="auto" w:sz="4" w:space="0"/>
              <w:right w:val="single" w:color="auto" w:sz="4" w:space="0"/>
            </w:tcBorders>
            <w:vAlign w:val="center"/>
          </w:tcPr>
          <w:p>
            <w:pPr>
              <w:pStyle w:val="17"/>
              <w:spacing w:beforeAutospacing="0" w:afterAutospacing="0" w:line="276" w:lineRule="auto"/>
              <w:rPr>
                <w:rFonts w:ascii="Times New Roman" w:hAnsi="Times New Roman" w:eastAsia="仿宋" w:cs="Times New Roman"/>
              </w:rPr>
            </w:pPr>
            <w:r>
              <w:rPr>
                <w:rFonts w:ascii="Times New Roman" w:hAnsi="Times New Roman" w:eastAsia="仿宋" w:cs="Times New Roman"/>
                <w:kern w:val="2"/>
              </w:rPr>
              <w:t>房地产中介服务机构对外发布的房源信息未明示该房源信息编码。</w:t>
            </w:r>
          </w:p>
        </w:tc>
        <w:tc>
          <w:tcPr>
            <w:tcW w:w="1291"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《监管办法》第二十四条第一款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right w:val="single" w:color="auto" w:sz="4" w:space="0"/>
            </w:tcBorders>
            <w:vAlign w:val="center"/>
          </w:tcPr>
          <w:p>
            <w:pPr>
              <w:snapToGrid w:val="0"/>
              <w:spacing w:line="276" w:lineRule="auto"/>
              <w:jc w:val="center"/>
              <w:rPr>
                <w:rFonts w:ascii="Times New Roman" w:hAnsi="Times New Roman" w:eastAsia="仿宋"/>
                <w:b/>
                <w:kern w:val="0"/>
                <w:sz w:val="24"/>
              </w:rPr>
            </w:pPr>
            <w:r>
              <w:rPr>
                <w:rFonts w:ascii="Times New Roman" w:hAnsi="Times New Roman" w:eastAsia="仿宋"/>
                <w:b/>
                <w:sz w:val="24"/>
                <w:szCs w:val="24"/>
              </w:rPr>
              <w:t>D</w:t>
            </w:r>
          </w:p>
        </w:tc>
        <w:tc>
          <w:tcPr>
            <w:tcW w:w="2783" w:type="pct"/>
            <w:tcBorders>
              <w:left w:val="single" w:color="auto" w:sz="4" w:space="0"/>
              <w:right w:val="single" w:color="auto" w:sz="4" w:space="0"/>
            </w:tcBorders>
            <w:vAlign w:val="center"/>
          </w:tcPr>
          <w:p>
            <w:pPr>
              <w:pStyle w:val="17"/>
              <w:spacing w:beforeAutospacing="0" w:afterAutospacing="0" w:line="276" w:lineRule="auto"/>
              <w:rPr>
                <w:rFonts w:ascii="Times New Roman" w:hAnsi="Times New Roman" w:eastAsia="仿宋" w:cs="Times New Roman"/>
                <w:kern w:val="2"/>
              </w:rPr>
            </w:pPr>
            <w:r>
              <w:rPr>
                <w:rFonts w:ascii="Times New Roman" w:hAnsi="Times New Roman" w:eastAsia="仿宋" w:cs="Times New Roman"/>
                <w:kern w:val="2"/>
              </w:rPr>
              <w:t>有下列情形之一的，房地产中介服务机构未在2个工作日内将房源信息从发布渠道上撤除：</w:t>
            </w:r>
          </w:p>
          <w:p>
            <w:pPr>
              <w:pStyle w:val="17"/>
              <w:numPr>
                <w:ilvl w:val="255"/>
                <w:numId w:val="0"/>
              </w:numPr>
              <w:spacing w:beforeAutospacing="0" w:afterAutospacing="0" w:line="276" w:lineRule="auto"/>
              <w:rPr>
                <w:rFonts w:ascii="Times New Roman" w:hAnsi="Times New Roman" w:eastAsia="仿宋" w:cs="Times New Roman"/>
                <w:kern w:val="2"/>
              </w:rPr>
            </w:pPr>
            <w:r>
              <w:rPr>
                <w:rFonts w:ascii="Times New Roman" w:hAnsi="Times New Roman" w:eastAsia="仿宋" w:cs="Times New Roman"/>
                <w:kern w:val="2"/>
              </w:rPr>
              <w:t>（一）委托出售房屋已签订存量房买卖合同；</w:t>
            </w:r>
          </w:p>
          <w:p>
            <w:pPr>
              <w:pStyle w:val="17"/>
              <w:numPr>
                <w:ilvl w:val="255"/>
                <w:numId w:val="0"/>
              </w:numPr>
              <w:spacing w:beforeAutospacing="0" w:afterAutospacing="0" w:line="276" w:lineRule="auto"/>
              <w:rPr>
                <w:rFonts w:ascii="Times New Roman" w:hAnsi="Times New Roman" w:eastAsia="仿宋" w:cs="Times New Roman"/>
                <w:kern w:val="2"/>
              </w:rPr>
            </w:pPr>
            <w:r>
              <w:rPr>
                <w:rFonts w:ascii="Times New Roman" w:hAnsi="Times New Roman" w:eastAsia="仿宋" w:cs="Times New Roman"/>
                <w:kern w:val="2"/>
              </w:rPr>
              <w:t>（二）出售人取消委托；</w:t>
            </w:r>
          </w:p>
          <w:p>
            <w:pPr>
              <w:pStyle w:val="17"/>
              <w:spacing w:beforeAutospacing="0" w:afterAutospacing="0" w:line="276" w:lineRule="auto"/>
              <w:rPr>
                <w:rFonts w:ascii="Times New Roman" w:hAnsi="Times New Roman" w:eastAsia="仿宋" w:cs="Times New Roman"/>
                <w:b/>
                <w:bCs/>
              </w:rPr>
            </w:pPr>
            <w:r>
              <w:rPr>
                <w:rFonts w:ascii="Times New Roman" w:hAnsi="Times New Roman" w:eastAsia="仿宋" w:cs="Times New Roman"/>
                <w:kern w:val="2"/>
              </w:rPr>
              <w:t>（三）委托期限届满。</w:t>
            </w:r>
          </w:p>
        </w:tc>
        <w:tc>
          <w:tcPr>
            <w:tcW w:w="1291" w:type="pct"/>
            <w:tcBorders>
              <w:left w:val="single" w:color="auto" w:sz="4" w:space="0"/>
              <w:right w:val="single" w:color="auto" w:sz="4" w:space="0"/>
            </w:tcBorders>
            <w:vAlign w:val="center"/>
          </w:tcPr>
          <w:p>
            <w:pPr>
              <w:pStyle w:val="5"/>
              <w:spacing w:line="276" w:lineRule="auto"/>
              <w:ind w:firstLine="0" w:firstLineChars="0"/>
              <w:rPr>
                <w:rFonts w:eastAsia="仿宋"/>
                <w:b/>
                <w:bCs/>
                <w:kern w:val="0"/>
                <w:sz w:val="24"/>
              </w:rPr>
            </w:pPr>
            <w:r>
              <w:rPr>
                <w:rFonts w:eastAsia="仿宋"/>
                <w:kern w:val="0"/>
                <w:sz w:val="24"/>
              </w:rPr>
              <w:t>《监管办法》第二十四条第二款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left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房地产经纪机构代理销售商品房项目的，未在销售现场明显位置明示商品房销售委托书和批准销售商品房的有关证明文件。</w:t>
            </w:r>
          </w:p>
        </w:tc>
        <w:tc>
          <w:tcPr>
            <w:tcW w:w="1291" w:type="pct"/>
            <w:tcBorders>
              <w:left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《经纪办法》第十五条第三款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sz w:val="24"/>
              </w:rPr>
            </w:pPr>
            <w:r>
              <w:rPr>
                <w:rFonts w:ascii="Times New Roman" w:hAnsi="Times New Roman" w:eastAsia="仿宋"/>
                <w:b/>
                <w:sz w:val="24"/>
                <w:szCs w:val="24"/>
              </w:rPr>
              <w:t>D</w:t>
            </w:r>
          </w:p>
        </w:tc>
        <w:tc>
          <w:tcPr>
            <w:tcW w:w="2783" w:type="pct"/>
            <w:tcBorders>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违反规定：经房地产中介服务机构促成签订房屋租赁合同的，由房地产中介服务机构办理房屋租赁合同网上备案手续。</w:t>
            </w:r>
          </w:p>
        </w:tc>
        <w:tc>
          <w:tcPr>
            <w:tcW w:w="1291" w:type="pct"/>
            <w:tcBorders>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《租赁规定》第十六条、《租赁规则》第八条第二款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pStyle w:val="5"/>
              <w:spacing w:line="276" w:lineRule="auto"/>
              <w:ind w:firstLine="0" w:firstLineChars="0"/>
              <w:jc w:val="center"/>
              <w:rPr>
                <w:rFonts w:eastAsia="仿宋"/>
                <w:b/>
                <w:sz w:val="24"/>
              </w:rPr>
            </w:pPr>
            <w:r>
              <w:rPr>
                <w:rFonts w:eastAsia="仿宋"/>
                <w:b/>
                <w:kern w:val="0"/>
                <w:sz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sz w:val="24"/>
              </w:rPr>
            </w:pPr>
            <w:r>
              <w:rPr>
                <w:rFonts w:ascii="Times New Roman" w:hAnsi="Times New Roman" w:eastAsia="仿宋"/>
                <w:sz w:val="24"/>
                <w:szCs w:val="24"/>
              </w:rPr>
              <w:t>未及时通过广州市房地产中介信用管理系统为本机构从业人员办理入职或离职手续的。（注：入职或离职30日内的除外）</w:t>
            </w:r>
          </w:p>
        </w:tc>
        <w:tc>
          <w:tcPr>
            <w:tcW w:w="1291"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sz w:val="24"/>
                <w:szCs w:val="24"/>
              </w:rPr>
            </w:pPr>
            <w:r>
              <w:rPr>
                <w:rFonts w:ascii="Times New Roman" w:hAnsi="Times New Roman" w:eastAsia="仿宋"/>
                <w:sz w:val="24"/>
                <w:szCs w:val="24"/>
              </w:rPr>
              <w:t>行业自律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Borders>
              <w:top w:val="single" w:color="auto" w:sz="4" w:space="0"/>
              <w:left w:val="single" w:color="auto" w:sz="4" w:space="0"/>
              <w:bottom w:val="single" w:color="auto" w:sz="4" w:space="0"/>
              <w:right w:val="single" w:color="auto" w:sz="4" w:space="0"/>
            </w:tcBorders>
            <w:vAlign w:val="center"/>
          </w:tcPr>
          <w:p>
            <w:pPr>
              <w:numPr>
                <w:ilvl w:val="0"/>
                <w:numId w:val="12"/>
              </w:numPr>
              <w:snapToGrid w:val="0"/>
              <w:spacing w:line="276" w:lineRule="auto"/>
              <w:jc w:val="center"/>
              <w:rPr>
                <w:rFonts w:ascii="Times New Roman" w:hAnsi="Times New Roman" w:eastAsia="仿宋"/>
                <w:sz w:val="24"/>
              </w:rPr>
            </w:pPr>
          </w:p>
        </w:tc>
        <w:tc>
          <w:tcPr>
            <w:tcW w:w="466"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Times New Roman" w:hAnsi="Times New Roman" w:eastAsia="仿宋"/>
                <w:b/>
                <w:kern w:val="0"/>
                <w:sz w:val="24"/>
              </w:rPr>
            </w:pPr>
            <w:r>
              <w:rPr>
                <w:rFonts w:ascii="Times New Roman" w:hAnsi="Times New Roman" w:eastAsia="仿宋"/>
                <w:b/>
                <w:kern w:val="0"/>
                <w:sz w:val="24"/>
                <w:szCs w:val="24"/>
              </w:rPr>
              <w:t>D</w:t>
            </w:r>
          </w:p>
        </w:tc>
        <w:tc>
          <w:tcPr>
            <w:tcW w:w="2783" w:type="pct"/>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left"/>
              <w:rPr>
                <w:rFonts w:ascii="Times New Roman" w:hAnsi="Times New Roman" w:eastAsia="仿宋"/>
                <w:b/>
                <w:bCs/>
                <w:kern w:val="0"/>
                <w:sz w:val="24"/>
              </w:rPr>
            </w:pPr>
            <w:r>
              <w:rPr>
                <w:rFonts w:ascii="Times New Roman" w:hAnsi="Times New Roman" w:eastAsia="仿宋"/>
                <w:sz w:val="24"/>
                <w:szCs w:val="24"/>
              </w:rPr>
              <w:t>房地产中介服务机构制作的房屋状况说明书未上传至房屋交易信息化平台。</w:t>
            </w:r>
          </w:p>
        </w:tc>
        <w:tc>
          <w:tcPr>
            <w:tcW w:w="1291" w:type="pct"/>
            <w:tcBorders>
              <w:top w:val="single" w:color="auto" w:sz="4" w:space="0"/>
              <w:left w:val="single" w:color="auto" w:sz="4" w:space="0"/>
              <w:bottom w:val="single" w:color="auto" w:sz="4" w:space="0"/>
              <w:right w:val="single" w:color="auto" w:sz="4" w:space="0"/>
            </w:tcBorders>
            <w:vAlign w:val="center"/>
          </w:tcPr>
          <w:p>
            <w:pPr>
              <w:pStyle w:val="5"/>
              <w:spacing w:line="276" w:lineRule="auto"/>
              <w:ind w:firstLine="0" w:firstLineChars="0"/>
              <w:rPr>
                <w:rFonts w:eastAsia="仿宋"/>
                <w:b/>
                <w:bCs/>
                <w:kern w:val="0"/>
                <w:sz w:val="24"/>
              </w:rPr>
            </w:pPr>
            <w:r>
              <w:rPr>
                <w:rFonts w:eastAsia="仿宋"/>
                <w:sz w:val="24"/>
              </w:rPr>
              <w:t>《监管办法》第二十六条第三款</w:t>
            </w:r>
          </w:p>
        </w:tc>
      </w:tr>
    </w:tbl>
    <w:p>
      <w:pPr>
        <w:widowControl/>
        <w:jc w:val="left"/>
        <w:rPr>
          <w:rFonts w:ascii="Times New Roman" w:hAnsi="Times New Roman"/>
          <w:color w:val="FF0000"/>
        </w:rPr>
      </w:pPr>
      <w:r>
        <w:rPr>
          <w:rFonts w:ascii="Times New Roman" w:hAnsi="Times New Roman"/>
          <w:color w:val="FF0000"/>
        </w:rPr>
        <w:br w:type="page"/>
      </w:r>
    </w:p>
    <w:p>
      <w:pPr>
        <w:pStyle w:val="3"/>
        <w:spacing w:before="120" w:beforeLines="50" w:after="120" w:afterLines="50" w:line="360" w:lineRule="auto"/>
        <w:jc w:val="center"/>
        <w:rPr>
          <w:rFonts w:ascii="Times New Roman" w:hAnsi="Times New Roman" w:eastAsia="黑体" w:cs="Times New Roman"/>
          <w:color w:val="000000" w:themeColor="text1"/>
          <w14:textFill>
            <w14:solidFill>
              <w14:schemeClr w14:val="tx1"/>
            </w14:solidFill>
          </w14:textFill>
        </w:rPr>
      </w:pPr>
      <w:bookmarkStart w:id="293" w:name="_Toc64643538"/>
      <w:bookmarkStart w:id="294" w:name="_Toc129785123"/>
      <w:bookmarkStart w:id="295" w:name="_Toc98168338"/>
      <w:r>
        <w:rPr>
          <w:rFonts w:ascii="Times New Roman" w:hAnsi="Times New Roman" w:eastAsia="黑体" w:cs="Times New Roman"/>
          <w:color w:val="000000" w:themeColor="text1"/>
          <w14:textFill>
            <w14:solidFill>
              <w14:schemeClr w14:val="tx1"/>
            </w14:solidFill>
          </w14:textFill>
        </w:rPr>
        <w:t>4.广州市房地产中介行业不良行为管理办法</w:t>
      </w:r>
      <w:bookmarkEnd w:id="293"/>
      <w:r>
        <w:rPr>
          <w:rFonts w:ascii="Times New Roman" w:hAnsi="Times New Roman" w:eastAsia="黑体" w:cs="Times New Roman"/>
          <w:color w:val="000000" w:themeColor="text1"/>
          <w14:textFill>
            <w14:solidFill>
              <w14:schemeClr w14:val="tx1"/>
            </w14:solidFill>
          </w14:textFill>
        </w:rPr>
        <w:t>（2019年修订版）</w:t>
      </w:r>
      <w:bookmarkEnd w:id="294"/>
      <w:bookmarkEnd w:id="295"/>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第一条 </w:t>
      </w:r>
      <w:r>
        <w:rPr>
          <w:rFonts w:ascii="Times New Roman" w:hAnsi="Times New Roman" w:eastAsia="仿宋"/>
          <w:color w:val="000000" w:themeColor="text1"/>
          <w:sz w:val="24"/>
          <w:szCs w:val="28"/>
          <w14:textFill>
            <w14:solidFill>
              <w14:schemeClr w14:val="tx1"/>
            </w14:solidFill>
          </w14:textFill>
        </w:rPr>
        <w:t>为引导我市房地产中介从业人员诚实守信、规范执业，杜绝房地产中介从业人员违规违纪等不良行为，规范我市房地产中介市场秩序，全面提高我市房地产中介服务水准，保障我市房地产中介行业持续稳定地健康发展。</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现根据《房地产经纪管理办法》、《广州市房地产中介服务管理条例》、《广州市房屋交易监督管理办法》和《广州市房地产中介信用管理暂行规定》等法律法规，以及《广州市房地产中介业务水平认证管理办法》、《广州市房地产中介信用评分评级管理办法》等行业自律规范，制定本办法。</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第二条 </w:t>
      </w:r>
      <w:r>
        <w:rPr>
          <w:rFonts w:ascii="Times New Roman" w:hAnsi="Times New Roman" w:eastAsia="仿宋"/>
          <w:color w:val="000000" w:themeColor="text1"/>
          <w:sz w:val="24"/>
          <w:szCs w:val="28"/>
          <w14:textFill>
            <w14:solidFill>
              <w14:schemeClr w14:val="tx1"/>
            </w14:solidFill>
          </w14:textFill>
        </w:rPr>
        <w:t>本办法适用于我市所有房地产中介机构（下称“中介机构”）及房地产中介从业人员（下称“从业人员”）。</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第三条</w:t>
      </w:r>
      <w:r>
        <w:rPr>
          <w:rFonts w:ascii="Times New Roman" w:hAnsi="Times New Roman" w:eastAsia="仿宋"/>
          <w:color w:val="000000" w:themeColor="text1"/>
          <w:sz w:val="24"/>
          <w:szCs w:val="28"/>
          <w14:textFill>
            <w14:solidFill>
              <w14:schemeClr w14:val="tx1"/>
            </w14:solidFill>
          </w14:textFill>
        </w:rPr>
        <w:t xml:space="preserve"> 行业不良行为名单是指从业人员不良行为信息的汇总，是广州市房地产中介协会（下称：协会）实施行业自律管理的重要手段之一。</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行业不良行为名单由协会行业自律管理委员会负责管理；行业不良行为名单的建立及维护等日常事务由协会秘书处负责。</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第四条</w:t>
      </w:r>
      <w:r>
        <w:rPr>
          <w:rFonts w:ascii="Times New Roman" w:hAnsi="Times New Roman" w:eastAsia="仿宋"/>
          <w:color w:val="000000" w:themeColor="text1"/>
          <w:sz w:val="24"/>
          <w:szCs w:val="28"/>
          <w14:textFill>
            <w14:solidFill>
              <w14:schemeClr w14:val="tx1"/>
            </w14:solidFill>
          </w14:textFill>
        </w:rPr>
        <w:t xml:space="preserve"> 行业不良行为名单分为社会公开和行业公开两种发布方式。</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社会公开是指行业不良行为名单将通过协会网站、微信号等向社会公众公开，社会公众可自由查询。</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行业公开是指行业不良行为名单将通过协会会员服务中心系统、微信号等，向中介机构进行公开。</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第五条 </w:t>
      </w:r>
      <w:r>
        <w:rPr>
          <w:rFonts w:ascii="Times New Roman" w:hAnsi="Times New Roman" w:eastAsia="仿宋"/>
          <w:color w:val="000000" w:themeColor="text1"/>
          <w:sz w:val="24"/>
          <w:szCs w:val="28"/>
          <w14:textFill>
            <w14:solidFill>
              <w14:schemeClr w14:val="tx1"/>
            </w14:solidFill>
          </w14:textFill>
        </w:rPr>
        <w:t>以下情形的从业人员不良行为，可列入行业不良行为名单：</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（一）从业人员不良行为，被行政主管部门作出行政处罚或行政处理的；</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（二）从业人员的信用等级为失信的；</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（三）从业人员不良行为被消费者投诉或举报，经调查核实的；</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（四）秘书处开展行业管理工作中发现的从业人员不良行为，经调查核实的；</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（五）经从业人员所在中介机构举报的。</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第六条 </w:t>
      </w:r>
      <w:r>
        <w:rPr>
          <w:rFonts w:ascii="Times New Roman" w:hAnsi="Times New Roman" w:eastAsia="仿宋"/>
          <w:color w:val="000000" w:themeColor="text1"/>
          <w:sz w:val="24"/>
          <w:szCs w:val="28"/>
          <w14:textFill>
            <w14:solidFill>
              <w14:schemeClr w14:val="tx1"/>
            </w14:solidFill>
          </w14:textFill>
        </w:rPr>
        <w:t>从业人员不良行为，被行政主管部门作出行政处罚或行政处理的，或从业人员的信用等级为失信等级的，无需提交行业自律管理委员会审议，秘书处可直接将其列入行业不良行为名单，且公开方式为社会公开。</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第七条</w:t>
      </w:r>
      <w:r>
        <w:rPr>
          <w:rFonts w:ascii="Times New Roman" w:hAnsi="Times New Roman" w:eastAsia="仿宋"/>
          <w:color w:val="000000" w:themeColor="text1"/>
          <w:sz w:val="24"/>
          <w:szCs w:val="28"/>
          <w14:textFill>
            <w14:solidFill>
              <w14:schemeClr w14:val="tx1"/>
            </w14:solidFill>
          </w14:textFill>
        </w:rPr>
        <w:t xml:space="preserve"> 消费者投诉或举报从业人员不良行为的，或秘书处开展行业管理工作中发现从业人员不良行为的，经秘书处调查后，提交行业自律管理委员会审议，审议通过的，由秘书处将其列入行业不良行为名单。</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行业自律管理委员会审议时，可根据其不良行为的情节轻重等，决定该不良行为记录的公开方式。</w:t>
      </w: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第八条 </w:t>
      </w:r>
      <w:r>
        <w:rPr>
          <w:rFonts w:ascii="Times New Roman" w:hAnsi="Times New Roman" w:eastAsia="仿宋"/>
          <w:color w:val="000000" w:themeColor="text1"/>
          <w:sz w:val="24"/>
          <w:szCs w:val="28"/>
          <w14:textFill>
            <w14:solidFill>
              <w14:schemeClr w14:val="tx1"/>
            </w14:solidFill>
          </w14:textFill>
        </w:rPr>
        <w:t>从业人员如有以下严重损害公司利益的情形时，其所在中介机构可通过协会会员服务中心系统进行举报。</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（一）利用从事房地产经纪业务的便利，收受回扣或者服务报酬以外的其他不正当利益；</w:t>
      </w:r>
    </w:p>
    <w:p>
      <w:pPr>
        <w:widowControl/>
        <w:spacing w:line="360" w:lineRule="auto"/>
        <w:ind w:firstLine="56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（二）违反公司规定，将执业过程中知悉的商业信息泄漏给其他公司；</w:t>
      </w:r>
    </w:p>
    <w:p>
      <w:pPr>
        <w:widowControl/>
        <w:spacing w:line="360" w:lineRule="auto"/>
        <w:ind w:firstLine="56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（三）挪用、占用、擅自代收代管佣金、交易资金等；</w:t>
      </w:r>
    </w:p>
    <w:p>
      <w:pPr>
        <w:widowControl/>
        <w:spacing w:line="360" w:lineRule="auto"/>
        <w:ind w:firstLine="56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（四）以个人名义接受委托，提供中介服务或将客户带至其他中介机构；</w:t>
      </w:r>
    </w:p>
    <w:p>
      <w:pPr>
        <w:widowControl/>
        <w:spacing w:line="360" w:lineRule="auto"/>
        <w:ind w:firstLine="56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（五）隐瞒双方交易成交价格，非法获取房屋差价；</w:t>
      </w:r>
    </w:p>
    <w:p>
      <w:pPr>
        <w:widowControl/>
        <w:spacing w:line="360" w:lineRule="auto"/>
        <w:ind w:firstLine="56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（六）伪造公司公章、合同、票据等造假行为；</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（七）其他严重损害公司声誉或经济利益的行为；</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（八）其他违法违规行为。</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第九条 </w:t>
      </w:r>
      <w:r>
        <w:rPr>
          <w:rFonts w:ascii="Times New Roman" w:hAnsi="Times New Roman" w:eastAsia="仿宋"/>
          <w:color w:val="000000" w:themeColor="text1"/>
          <w:sz w:val="24"/>
          <w:szCs w:val="28"/>
          <w14:textFill>
            <w14:solidFill>
              <w14:schemeClr w14:val="tx1"/>
            </w14:solidFill>
          </w14:textFill>
        </w:rPr>
        <w:t>中介机构通过协会会员服务中心系统举报本机构从业人员不良行为信息时，需提交以下材料：</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（一）从业人员不良行为的发生经过及相关证据（如：交易当事人、公司其他人员的证词等）；</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（二）从业人员的身份证复印件；</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（三）从业人员的通讯方式，包括：手机号、通讯地址等；</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中介机构应对发布的不良行为信息的真实性、合法性负责，不得以将从业人员列入行业不良行为人员名单相胁迫而获取不当利益，否则自行承担相关法律责任。</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b/>
          <w:color w:val="000000" w:themeColor="text1"/>
          <w:kern w:val="0"/>
          <w:sz w:val="24"/>
          <w:szCs w:val="28"/>
          <w14:textFill>
            <w14:solidFill>
              <w14:schemeClr w14:val="tx1"/>
            </w14:solidFill>
          </w14:textFill>
        </w:rPr>
        <w:t xml:space="preserve">第十条 </w:t>
      </w:r>
      <w:r>
        <w:rPr>
          <w:rFonts w:ascii="Times New Roman" w:hAnsi="Times New Roman" w:eastAsia="仿宋"/>
          <w:color w:val="000000" w:themeColor="text1"/>
          <w:kern w:val="0"/>
          <w:sz w:val="24"/>
          <w:szCs w:val="28"/>
          <w14:textFill>
            <w14:solidFill>
              <w14:schemeClr w14:val="tx1"/>
            </w14:solidFill>
          </w14:textFill>
        </w:rPr>
        <w:t>秘书处在收到中介机构举报从业人员不良行为信息的5个工作日内，以短信或快递等方式通知被举报人。被举报人如有异议，可自通知发出之日起20日内，向秘书处书面提交申诉材料。经</w:t>
      </w:r>
      <w:r>
        <w:rPr>
          <w:rFonts w:ascii="Times New Roman" w:hAnsi="Times New Roman" w:eastAsia="仿宋"/>
          <w:color w:val="000000" w:themeColor="text1"/>
          <w:sz w:val="24"/>
          <w:szCs w:val="28"/>
          <w14:textFill>
            <w14:solidFill>
              <w14:schemeClr w14:val="tx1"/>
            </w14:solidFill>
          </w14:textFill>
        </w:rPr>
        <w:t>秘书处调查后，</w:t>
      </w:r>
      <w:r>
        <w:rPr>
          <w:rFonts w:ascii="Times New Roman" w:hAnsi="Times New Roman" w:eastAsia="仿宋"/>
          <w:color w:val="000000" w:themeColor="text1"/>
          <w:kern w:val="0"/>
          <w:sz w:val="24"/>
          <w:szCs w:val="28"/>
          <w14:textFill>
            <w14:solidFill>
              <w14:schemeClr w14:val="tx1"/>
            </w14:solidFill>
          </w14:textFill>
        </w:rPr>
        <w:t>提交行业自律管理委员会审议，审议认为申诉属实的，则不发布该不良行为信息。审议认为申诉不属实的，则发布该不良行为信息，发布方式为社会公开。</w:t>
      </w:r>
    </w:p>
    <w:p>
      <w:pPr>
        <w:widowControl/>
        <w:spacing w:line="360" w:lineRule="auto"/>
        <w:ind w:firstLine="561"/>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被举报人逾期不申诉的，则可将该不良行为信息予以发布，发布方式为行业公开。</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481"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第十一条 </w:t>
      </w:r>
      <w:r>
        <w:rPr>
          <w:rFonts w:ascii="Times New Roman" w:hAnsi="Times New Roman" w:eastAsia="仿宋"/>
          <w:color w:val="000000" w:themeColor="text1"/>
          <w:sz w:val="24"/>
          <w:szCs w:val="28"/>
          <w14:textFill>
            <w14:solidFill>
              <w14:schemeClr w14:val="tx1"/>
            </w14:solidFill>
          </w14:textFill>
        </w:rPr>
        <w:t>从业人员如对其本人的不良行为信息有异议的，可向协会提出书面申诉。协会应自收到申诉人书面申诉后30个工作日内作出书面答复。</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申诉时应提交以下材料：申诉说明及相关证据材料等（如：相关证人证词）。</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如有以下情形，协会可不予受理：</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（一）属第五条第（一）、（二）款情形的；</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（二）已向协会提出过申诉，但申诉失败的；</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（三）申诉人在开展投诉调查过程中，因出现不配合调查或放弃申诉等情形，而导致作出列入行业不良行为名单处理结果的。</w:t>
      </w:r>
    </w:p>
    <w:p>
      <w:pPr>
        <w:spacing w:line="360" w:lineRule="auto"/>
        <w:ind w:firstLine="481" w:firstLineChars="200"/>
        <w:rPr>
          <w:rFonts w:ascii="Times New Roman" w:hAnsi="Times New Roman" w:eastAsia="仿宋"/>
          <w:b/>
          <w:color w:val="000000" w:themeColor="text1"/>
          <w:sz w:val="24"/>
          <w:szCs w:val="28"/>
          <w14:textFill>
            <w14:solidFill>
              <w14:schemeClr w14:val="tx1"/>
            </w14:solidFill>
          </w14:textFill>
        </w:rPr>
      </w:pPr>
    </w:p>
    <w:p>
      <w:pPr>
        <w:spacing w:line="360" w:lineRule="auto"/>
        <w:ind w:firstLine="481"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第十二条</w:t>
      </w:r>
      <w:r>
        <w:rPr>
          <w:rFonts w:ascii="Times New Roman" w:hAnsi="Times New Roman" w:eastAsia="仿宋"/>
          <w:color w:val="000000" w:themeColor="text1"/>
          <w:sz w:val="24"/>
          <w:szCs w:val="28"/>
          <w14:textFill>
            <w14:solidFill>
              <w14:schemeClr w14:val="tx1"/>
            </w14:solidFill>
          </w14:textFill>
        </w:rPr>
        <w:t xml:space="preserve"> 秘书处受理从业人员申诉后，应就申诉情况开展调查，并将调查情况提交行业自律管理委员会审议。如行业自律管理委员会审议，认为从业人员申诉属实的，应及时撤下该不良行为记录。</w:t>
      </w: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第十三条 </w:t>
      </w:r>
      <w:r>
        <w:rPr>
          <w:rFonts w:ascii="Times New Roman" w:hAnsi="Times New Roman" w:eastAsia="仿宋"/>
          <w:color w:val="000000" w:themeColor="text1"/>
          <w:sz w:val="24"/>
          <w:szCs w:val="28"/>
          <w14:textFill>
            <w14:solidFill>
              <w14:schemeClr w14:val="tx1"/>
            </w14:solidFill>
          </w14:textFill>
        </w:rPr>
        <w:t>行业不良行为名单做永久保存。不良行为记录公示期为三年，公示期满，不再公示。如社会公众或中介机构需要查询公示期以外的不良行为记录的，可向协会提出书面申请。</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如需提前结束公示期的，须行业自律管理委员会审议决定。</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第十四条 </w:t>
      </w:r>
      <w:r>
        <w:rPr>
          <w:rFonts w:ascii="Times New Roman" w:hAnsi="Times New Roman" w:eastAsia="仿宋"/>
          <w:color w:val="000000" w:themeColor="text1"/>
          <w:sz w:val="24"/>
          <w:szCs w:val="28"/>
          <w14:textFill>
            <w14:solidFill>
              <w14:schemeClr w14:val="tx1"/>
            </w14:solidFill>
          </w14:textFill>
        </w:rPr>
        <w:t>被列入行业不良行为名单的从业人员，协会可在不良行为记录公示期内，实施以下行业自律惩戒措施：</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（一）可拒绝其申请参加广州市房地产中介业务水平认证；</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（二）可拒绝其参加广州市房地产中介业务水平认证继续教育；</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（三）可取消其个人会员会籍，或拒绝其入会；</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（四）可将行业不良行为名单向与本会签订《房地产中介行业不良行为名单互认备案录》的其他签约单位进行共享。</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（五）经行业自律管理委员会审议决定的其他自律惩戒措施。</w:t>
      </w: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 xml:space="preserve">第十五条 </w:t>
      </w:r>
      <w:r>
        <w:rPr>
          <w:rFonts w:ascii="Times New Roman" w:hAnsi="Times New Roman" w:eastAsia="仿宋"/>
          <w:color w:val="000000" w:themeColor="text1"/>
          <w:sz w:val="24"/>
          <w:szCs w:val="28"/>
          <w14:textFill>
            <w14:solidFill>
              <w14:schemeClr w14:val="tx1"/>
            </w14:solidFill>
          </w14:textFill>
        </w:rPr>
        <w:t>行业不良行为名单向全市所有中介机构开放使用。中介机构聘用从业人员前，应认真查核行业不良行为名单及房地产中介信用档案等。</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中介机构应慎重聘用被列入行业不良行为名单的从业人员。中介机构如聘用被列入行业不良行为名单的从业人员，协会应及时提醒中介机构，中介机构应在收到提醒的15个工作日内进行整改；逾期未整改的，协会可对中介机构的聘用行为予以社会公示，并扣减该中介机构的信用评分。</w:t>
      </w: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第十六条</w:t>
      </w:r>
      <w:r>
        <w:rPr>
          <w:rFonts w:ascii="Times New Roman" w:hAnsi="Times New Roman" w:eastAsia="仿宋"/>
          <w:color w:val="000000" w:themeColor="text1"/>
          <w:sz w:val="24"/>
          <w:szCs w:val="28"/>
          <w14:textFill>
            <w14:solidFill>
              <w14:schemeClr w14:val="tx1"/>
            </w14:solidFill>
          </w14:textFill>
        </w:rPr>
        <w:t xml:space="preserve"> 协会鼓励任何组织或者个人监督本办法的执行，发现有违反本办法规定的情况时，有权向行政主管部门及协会举报。</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第十七条</w:t>
      </w:r>
      <w:r>
        <w:rPr>
          <w:rFonts w:ascii="Times New Roman" w:hAnsi="Times New Roman" w:eastAsia="仿宋"/>
          <w:color w:val="000000" w:themeColor="text1"/>
          <w:sz w:val="24"/>
          <w:szCs w:val="28"/>
          <w14:textFill>
            <w14:solidFill>
              <w14:schemeClr w14:val="tx1"/>
            </w14:solidFill>
          </w14:textFill>
        </w:rPr>
        <w:t xml:space="preserve"> 本办法的修订，经协会行业自律管理委员会审议表决通过后方可执行。</w:t>
      </w: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第十八条</w:t>
      </w:r>
      <w:r>
        <w:rPr>
          <w:rFonts w:ascii="Times New Roman" w:hAnsi="Times New Roman" w:eastAsia="仿宋"/>
          <w:color w:val="000000" w:themeColor="text1"/>
          <w:sz w:val="24"/>
          <w:szCs w:val="28"/>
          <w14:textFill>
            <w14:solidFill>
              <w14:schemeClr w14:val="tx1"/>
            </w14:solidFill>
          </w14:textFill>
        </w:rPr>
        <w:t xml:space="preserve"> 本办法由广州市房地产中介协会负责解释。</w:t>
      </w:r>
    </w:p>
    <w:p>
      <w:pPr>
        <w:spacing w:line="360" w:lineRule="auto"/>
        <w:ind w:firstLine="641"/>
        <w:rPr>
          <w:rFonts w:ascii="Times New Roman" w:hAnsi="Times New Roman" w:eastAsia="仿宋"/>
          <w:b/>
          <w:color w:val="000000" w:themeColor="text1"/>
          <w:sz w:val="24"/>
          <w:szCs w:val="28"/>
          <w14:textFill>
            <w14:solidFill>
              <w14:schemeClr w14:val="tx1"/>
            </w14:solidFill>
          </w14:textFill>
        </w:rPr>
      </w:pP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b/>
          <w:color w:val="000000" w:themeColor="text1"/>
          <w:sz w:val="24"/>
          <w:szCs w:val="28"/>
          <w14:textFill>
            <w14:solidFill>
              <w14:schemeClr w14:val="tx1"/>
            </w14:solidFill>
          </w14:textFill>
        </w:rPr>
        <w:t>第十九条</w:t>
      </w:r>
      <w:r>
        <w:rPr>
          <w:rFonts w:ascii="Times New Roman" w:hAnsi="Times New Roman" w:eastAsia="仿宋"/>
          <w:color w:val="000000" w:themeColor="text1"/>
          <w:sz w:val="24"/>
          <w:szCs w:val="28"/>
          <w14:textFill>
            <w14:solidFill>
              <w14:schemeClr w14:val="tx1"/>
            </w14:solidFill>
          </w14:textFill>
        </w:rPr>
        <w:t xml:space="preserve"> 本办法自通知发布之日起执行。</w:t>
      </w:r>
    </w:p>
    <w:p>
      <w:pPr>
        <w:spacing w:line="360" w:lineRule="auto"/>
        <w:ind w:firstLine="641"/>
        <w:rPr>
          <w:rFonts w:ascii="Times New Roman" w:hAnsi="Times New Roman" w:eastAsia="仿宋"/>
          <w:color w:val="000000" w:themeColor="text1"/>
          <w:sz w:val="24"/>
          <w:szCs w:val="28"/>
          <w14:textFill>
            <w14:solidFill>
              <w14:schemeClr w14:val="tx1"/>
            </w14:solidFill>
          </w14:textFill>
        </w:rPr>
      </w:pPr>
    </w:p>
    <w:p>
      <w:pPr>
        <w:spacing w:line="360" w:lineRule="auto"/>
        <w:ind w:firstLine="641"/>
        <w:jc w:val="right"/>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广州市房地产中介协会</w:t>
      </w:r>
    </w:p>
    <w:p>
      <w:pPr>
        <w:widowControl/>
        <w:jc w:val="left"/>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pPr>
        <w:pStyle w:val="3"/>
        <w:spacing w:before="120" w:beforeLines="50" w:after="120" w:afterLines="50" w:line="360" w:lineRule="auto"/>
        <w:jc w:val="center"/>
        <w:rPr>
          <w:rFonts w:ascii="Times New Roman" w:hAnsi="Times New Roman" w:eastAsia="黑体" w:cs="Times New Roman"/>
          <w:color w:val="000000" w:themeColor="text1"/>
          <w14:textFill>
            <w14:solidFill>
              <w14:schemeClr w14:val="tx1"/>
            </w14:solidFill>
          </w14:textFill>
        </w:rPr>
      </w:pPr>
      <w:bookmarkStart w:id="296" w:name="_Toc98168339"/>
      <w:bookmarkStart w:id="297" w:name="_Toc64643539"/>
      <w:bookmarkStart w:id="298" w:name="_Toc129785124"/>
      <w:r>
        <w:rPr>
          <w:rFonts w:ascii="Times New Roman" w:hAnsi="Times New Roman" w:eastAsia="黑体" w:cs="Times New Roman"/>
          <w:color w:val="000000" w:themeColor="text1"/>
          <w14:textFill>
            <w14:solidFill>
              <w14:schemeClr w14:val="tx1"/>
            </w14:solidFill>
          </w14:textFill>
        </w:rPr>
        <w:t>5.广州市房地产中介服务品牌信用评分评级规则</w:t>
      </w:r>
      <w:bookmarkEnd w:id="296"/>
      <w:bookmarkEnd w:id="297"/>
      <w:bookmarkEnd w:id="298"/>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为进一步完善我市房地产中介信用评分评级体系，方便消费者更直观充分地了解各房地产中介服务品牌的信用评价状况，现制定本规则。</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本规则是《广州市房地产中介信用评分评级管理办法》的重要组成。</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本规则于2019年12月23日经协会第三届理事会第四次会议表决通过，自2020年1月1日起实施。</w:t>
      </w:r>
    </w:p>
    <w:p>
      <w:pPr>
        <w:pStyle w:val="26"/>
        <w:rPr>
          <w:rFonts w:hint="default"/>
        </w:rPr>
      </w:pPr>
    </w:p>
    <w:p>
      <w:pPr>
        <w:spacing w:before="120" w:beforeLines="50"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r>
        <w:rPr>
          <w:rFonts w:ascii="Times New Roman" w:hAnsi="Times New Roman" w:eastAsia="仿宋_GB2312"/>
          <w:b/>
          <w:bCs/>
          <w:color w:val="000000" w:themeColor="text1"/>
          <w:sz w:val="28"/>
          <w:szCs w:val="28"/>
          <w14:textFill>
            <w14:solidFill>
              <w14:schemeClr w14:val="tx1"/>
            </w14:solidFill>
          </w14:textFill>
        </w:rPr>
        <w:t>一、评分规则</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按品牌名下各总机构的信用评分*各总机构下属分支机构数量后，再除以所有分支机构数量进行综合计算。</w:t>
      </w:r>
    </w:p>
    <w:p>
      <w:pPr>
        <w:jc w:val="center"/>
        <w:rPr>
          <w:rFonts w:ascii="Times New Roman" w:hAnsi="Times New Roman" w:eastAsia="仿宋"/>
          <w:b/>
          <w:bCs/>
          <w:color w:val="000000" w:themeColor="text1"/>
          <w:sz w:val="28"/>
          <w:szCs w:val="28"/>
          <w14:textFill>
            <w14:solidFill>
              <w14:schemeClr w14:val="tx1"/>
            </w14:solidFill>
          </w14:textFill>
        </w:rPr>
      </w:pPr>
      <w:r>
        <w:rPr>
          <w:rFonts w:ascii="Times New Roman" w:hAnsi="Times New Roman" w:eastAsia="仿宋"/>
          <w:color w:val="000000" w:themeColor="text1"/>
          <w:sz w:val="18"/>
          <w14:textFill>
            <w14:solidFill>
              <w14:schemeClr w14:val="tx1"/>
            </w14:solidFill>
          </w14:textFill>
        </w:rPr>
        <w:drawing>
          <wp:inline distT="0" distB="0" distL="0" distR="0">
            <wp:extent cx="3228975" cy="599440"/>
            <wp:effectExtent l="0" t="0" r="0" b="0"/>
            <wp:docPr id="6" name="图片 6" descr="E:\王俊轩\AppData\Local\Temp\ksohtml10580\wps1.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E:\王俊轩\AppData\Local\Temp\ksohtml10580\wps1.jpg"/>
                    <pic:cNvPicPr>
                      <a:picLocks noChangeAspect="true" noChangeArrowheads="true"/>
                    </pic:cNvPicPr>
                  </pic:nvPicPr>
                  <pic:blipFill>
                    <a:blip r:embed="rId57">
                      <a:extLst>
                        <a:ext uri="{28A0092B-C50C-407E-A947-70E740481C1C}">
                          <a14:useLocalDpi xmlns:a14="http://schemas.microsoft.com/office/drawing/2010/main" val="false"/>
                        </a:ext>
                      </a:extLst>
                    </a:blip>
                    <a:srcRect/>
                    <a:stretch>
                      <a:fillRect/>
                    </a:stretch>
                  </pic:blipFill>
                  <pic:spPr>
                    <a:xfrm>
                      <a:off x="0" y="0"/>
                      <a:ext cx="3228975" cy="599667"/>
                    </a:xfrm>
                    <a:prstGeom prst="rect">
                      <a:avLst/>
                    </a:prstGeom>
                    <a:noFill/>
                    <a:ln>
                      <a:noFill/>
                    </a:ln>
                  </pic:spPr>
                </pic:pic>
              </a:graphicData>
            </a:graphic>
          </wp:inline>
        </w:drawing>
      </w:r>
    </w:p>
    <w:p>
      <w:pPr>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X：每家总机构（按独立法人计）的信用评分</w:t>
      </w:r>
    </w:p>
    <w:p>
      <w:pPr>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Y：每家总机构（按独立法人计）的分支机构数量</w:t>
      </w:r>
    </w:p>
    <w:p>
      <w:pPr>
        <w:spacing w:line="360" w:lineRule="auto"/>
        <w:ind w:firstLine="481" w:firstLineChars="200"/>
        <w:rPr>
          <w:rFonts w:ascii="Times New Roman" w:hAnsi="Times New Roman" w:eastAsia="仿宋"/>
          <w:b/>
          <w:bCs/>
          <w:color w:val="000000" w:themeColor="text1"/>
          <w:sz w:val="24"/>
          <w:szCs w:val="28"/>
          <w14:textFill>
            <w14:solidFill>
              <w14:schemeClr w14:val="tx1"/>
            </w14:solidFill>
          </w14:textFill>
        </w:rPr>
      </w:pPr>
      <w:r>
        <w:rPr>
          <w:rFonts w:ascii="Times New Roman" w:hAnsi="Times New Roman" w:eastAsia="仿宋"/>
          <w:b/>
          <w:bCs/>
          <w:color w:val="000000" w:themeColor="text1"/>
          <w:sz w:val="24"/>
          <w:szCs w:val="28"/>
          <w14:textFill>
            <w14:solidFill>
              <w14:schemeClr w14:val="tx1"/>
            </w14:solidFill>
          </w14:textFill>
        </w:rPr>
        <w:t>举例：以某品牌有5家总机构为例。</w:t>
      </w:r>
    </w:p>
    <w:tbl>
      <w:tblPr>
        <w:tblStyle w:val="19"/>
        <w:tblW w:w="8726" w:type="dxa"/>
        <w:jc w:val="center"/>
        <w:tblLayout w:type="autofit"/>
        <w:tblCellMar>
          <w:top w:w="0" w:type="dxa"/>
          <w:left w:w="108" w:type="dxa"/>
          <w:bottom w:w="0" w:type="dxa"/>
          <w:right w:w="108" w:type="dxa"/>
        </w:tblCellMar>
      </w:tblPr>
      <w:tblGrid>
        <w:gridCol w:w="797"/>
        <w:gridCol w:w="1694"/>
        <w:gridCol w:w="2408"/>
        <w:gridCol w:w="2268"/>
        <w:gridCol w:w="1559"/>
      </w:tblGrid>
      <w:tr>
        <w:tblPrEx>
          <w:tblCellMar>
            <w:top w:w="0" w:type="dxa"/>
            <w:left w:w="108" w:type="dxa"/>
            <w:bottom w:w="0" w:type="dxa"/>
            <w:right w:w="108" w:type="dxa"/>
          </w:tblCellMar>
        </w:tblPrEx>
        <w:trPr>
          <w:trHeight w:val="480" w:hRule="atLeast"/>
          <w:jc w:val="center"/>
        </w:trPr>
        <w:tc>
          <w:tcPr>
            <w:tcW w:w="797" w:type="dxa"/>
            <w:tcBorders>
              <w:top w:val="single" w:color="auto" w:sz="4" w:space="0"/>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序号</w:t>
            </w:r>
          </w:p>
        </w:tc>
        <w:tc>
          <w:tcPr>
            <w:tcW w:w="1694" w:type="dxa"/>
            <w:tcBorders>
              <w:top w:val="single" w:color="auto" w:sz="4" w:space="0"/>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总机构名称</w:t>
            </w:r>
          </w:p>
        </w:tc>
        <w:tc>
          <w:tcPr>
            <w:tcW w:w="2408" w:type="dxa"/>
            <w:tcBorders>
              <w:top w:val="single" w:color="auto" w:sz="4" w:space="0"/>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总机构信用分数（X）</w:t>
            </w:r>
          </w:p>
        </w:tc>
        <w:tc>
          <w:tcPr>
            <w:tcW w:w="2268" w:type="dxa"/>
            <w:tcBorders>
              <w:top w:val="single" w:color="auto" w:sz="4" w:space="0"/>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分支机构数量（Y）</w:t>
            </w:r>
          </w:p>
        </w:tc>
        <w:tc>
          <w:tcPr>
            <w:tcW w:w="1559" w:type="dxa"/>
            <w:tcBorders>
              <w:top w:val="single" w:color="auto" w:sz="4" w:space="0"/>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小计（X*Y）</w:t>
            </w:r>
          </w:p>
        </w:tc>
      </w:tr>
      <w:tr>
        <w:tblPrEx>
          <w:tblCellMar>
            <w:top w:w="0" w:type="dxa"/>
            <w:left w:w="108" w:type="dxa"/>
            <w:bottom w:w="0" w:type="dxa"/>
            <w:right w:w="108" w:type="dxa"/>
          </w:tblCellMar>
        </w:tblPrEx>
        <w:trPr>
          <w:trHeight w:val="285" w:hRule="atLeast"/>
          <w:jc w:val="center"/>
        </w:trPr>
        <w:tc>
          <w:tcPr>
            <w:tcW w:w="797" w:type="dxa"/>
            <w:tcBorders>
              <w:top w:val="nil"/>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1</w:t>
            </w:r>
          </w:p>
        </w:tc>
        <w:tc>
          <w:tcPr>
            <w:tcW w:w="1694"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A公司</w:t>
            </w:r>
          </w:p>
        </w:tc>
        <w:tc>
          <w:tcPr>
            <w:tcW w:w="240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60</w:t>
            </w:r>
          </w:p>
        </w:tc>
        <w:tc>
          <w:tcPr>
            <w:tcW w:w="226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50</w:t>
            </w:r>
          </w:p>
        </w:tc>
        <w:tc>
          <w:tcPr>
            <w:tcW w:w="1559"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3000</w:t>
            </w:r>
          </w:p>
        </w:tc>
      </w:tr>
      <w:tr>
        <w:tblPrEx>
          <w:tblCellMar>
            <w:top w:w="0" w:type="dxa"/>
            <w:left w:w="108" w:type="dxa"/>
            <w:bottom w:w="0" w:type="dxa"/>
            <w:right w:w="108" w:type="dxa"/>
          </w:tblCellMar>
        </w:tblPrEx>
        <w:trPr>
          <w:trHeight w:val="285" w:hRule="atLeast"/>
          <w:jc w:val="center"/>
        </w:trPr>
        <w:tc>
          <w:tcPr>
            <w:tcW w:w="797" w:type="dxa"/>
            <w:tcBorders>
              <w:top w:val="nil"/>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2</w:t>
            </w:r>
          </w:p>
        </w:tc>
        <w:tc>
          <w:tcPr>
            <w:tcW w:w="1694"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B公司</w:t>
            </w:r>
          </w:p>
        </w:tc>
        <w:tc>
          <w:tcPr>
            <w:tcW w:w="240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80</w:t>
            </w:r>
          </w:p>
        </w:tc>
        <w:tc>
          <w:tcPr>
            <w:tcW w:w="226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8</w:t>
            </w:r>
          </w:p>
        </w:tc>
        <w:tc>
          <w:tcPr>
            <w:tcW w:w="1559"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640</w:t>
            </w:r>
          </w:p>
        </w:tc>
      </w:tr>
      <w:tr>
        <w:tblPrEx>
          <w:tblCellMar>
            <w:top w:w="0" w:type="dxa"/>
            <w:left w:w="108" w:type="dxa"/>
            <w:bottom w:w="0" w:type="dxa"/>
            <w:right w:w="108" w:type="dxa"/>
          </w:tblCellMar>
        </w:tblPrEx>
        <w:trPr>
          <w:trHeight w:val="285" w:hRule="atLeast"/>
          <w:jc w:val="center"/>
        </w:trPr>
        <w:tc>
          <w:tcPr>
            <w:tcW w:w="797" w:type="dxa"/>
            <w:tcBorders>
              <w:top w:val="nil"/>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3</w:t>
            </w:r>
          </w:p>
        </w:tc>
        <w:tc>
          <w:tcPr>
            <w:tcW w:w="1694"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C公司</w:t>
            </w:r>
          </w:p>
        </w:tc>
        <w:tc>
          <w:tcPr>
            <w:tcW w:w="240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82</w:t>
            </w:r>
          </w:p>
        </w:tc>
        <w:tc>
          <w:tcPr>
            <w:tcW w:w="226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6</w:t>
            </w:r>
          </w:p>
        </w:tc>
        <w:tc>
          <w:tcPr>
            <w:tcW w:w="1559"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492</w:t>
            </w:r>
          </w:p>
        </w:tc>
      </w:tr>
      <w:tr>
        <w:tblPrEx>
          <w:tblCellMar>
            <w:top w:w="0" w:type="dxa"/>
            <w:left w:w="108" w:type="dxa"/>
            <w:bottom w:w="0" w:type="dxa"/>
            <w:right w:w="108" w:type="dxa"/>
          </w:tblCellMar>
        </w:tblPrEx>
        <w:trPr>
          <w:trHeight w:val="285" w:hRule="atLeast"/>
          <w:jc w:val="center"/>
        </w:trPr>
        <w:tc>
          <w:tcPr>
            <w:tcW w:w="797" w:type="dxa"/>
            <w:tcBorders>
              <w:top w:val="nil"/>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4</w:t>
            </w:r>
          </w:p>
        </w:tc>
        <w:tc>
          <w:tcPr>
            <w:tcW w:w="1694"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D公司</w:t>
            </w:r>
          </w:p>
        </w:tc>
        <w:tc>
          <w:tcPr>
            <w:tcW w:w="240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95</w:t>
            </w:r>
          </w:p>
        </w:tc>
        <w:tc>
          <w:tcPr>
            <w:tcW w:w="226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30</w:t>
            </w:r>
          </w:p>
        </w:tc>
        <w:tc>
          <w:tcPr>
            <w:tcW w:w="1559"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2850</w:t>
            </w:r>
          </w:p>
        </w:tc>
      </w:tr>
      <w:tr>
        <w:tblPrEx>
          <w:tblCellMar>
            <w:top w:w="0" w:type="dxa"/>
            <w:left w:w="108" w:type="dxa"/>
            <w:bottom w:w="0" w:type="dxa"/>
            <w:right w:w="108" w:type="dxa"/>
          </w:tblCellMar>
        </w:tblPrEx>
        <w:trPr>
          <w:trHeight w:val="285" w:hRule="atLeast"/>
          <w:jc w:val="center"/>
        </w:trPr>
        <w:tc>
          <w:tcPr>
            <w:tcW w:w="797" w:type="dxa"/>
            <w:tcBorders>
              <w:top w:val="nil"/>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5</w:t>
            </w:r>
          </w:p>
        </w:tc>
        <w:tc>
          <w:tcPr>
            <w:tcW w:w="1694"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E公司</w:t>
            </w:r>
          </w:p>
        </w:tc>
        <w:tc>
          <w:tcPr>
            <w:tcW w:w="240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90</w:t>
            </w:r>
          </w:p>
        </w:tc>
        <w:tc>
          <w:tcPr>
            <w:tcW w:w="226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4</w:t>
            </w:r>
          </w:p>
        </w:tc>
        <w:tc>
          <w:tcPr>
            <w:tcW w:w="1559"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color w:val="000000" w:themeColor="text1"/>
                <w:kern w:val="0"/>
                <w:sz w:val="24"/>
                <w:szCs w:val="28"/>
                <w14:textFill>
                  <w14:solidFill>
                    <w14:schemeClr w14:val="tx1"/>
                  </w14:solidFill>
                </w14:textFill>
              </w:rPr>
            </w:pPr>
            <w:r>
              <w:rPr>
                <w:rFonts w:ascii="Times New Roman" w:hAnsi="Times New Roman" w:eastAsia="仿宋"/>
                <w:color w:val="000000" w:themeColor="text1"/>
                <w:kern w:val="0"/>
                <w:sz w:val="24"/>
                <w:szCs w:val="28"/>
                <w14:textFill>
                  <w14:solidFill>
                    <w14:schemeClr w14:val="tx1"/>
                  </w14:solidFill>
                </w14:textFill>
              </w:rPr>
              <w:t>360</w:t>
            </w:r>
          </w:p>
        </w:tc>
      </w:tr>
      <w:tr>
        <w:tblPrEx>
          <w:tblCellMar>
            <w:top w:w="0" w:type="dxa"/>
            <w:left w:w="108" w:type="dxa"/>
            <w:bottom w:w="0" w:type="dxa"/>
            <w:right w:w="108" w:type="dxa"/>
          </w:tblCellMar>
        </w:tblPrEx>
        <w:trPr>
          <w:trHeight w:val="285" w:hRule="atLeast"/>
          <w:jc w:val="center"/>
        </w:trPr>
        <w:tc>
          <w:tcPr>
            <w:tcW w:w="2491" w:type="dxa"/>
            <w:gridSpan w:val="2"/>
            <w:tcBorders>
              <w:top w:val="nil"/>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合计</w:t>
            </w:r>
          </w:p>
        </w:tc>
        <w:tc>
          <w:tcPr>
            <w:tcW w:w="240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407</w:t>
            </w:r>
          </w:p>
        </w:tc>
        <w:tc>
          <w:tcPr>
            <w:tcW w:w="2268"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98</w:t>
            </w:r>
          </w:p>
        </w:tc>
        <w:tc>
          <w:tcPr>
            <w:tcW w:w="1559" w:type="dxa"/>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7342</w:t>
            </w:r>
          </w:p>
        </w:tc>
      </w:tr>
      <w:tr>
        <w:tblPrEx>
          <w:tblCellMar>
            <w:top w:w="0" w:type="dxa"/>
            <w:left w:w="108" w:type="dxa"/>
            <w:bottom w:w="0" w:type="dxa"/>
            <w:right w:w="108" w:type="dxa"/>
          </w:tblCellMar>
        </w:tblPrEx>
        <w:trPr>
          <w:trHeight w:val="552" w:hRule="atLeast"/>
          <w:jc w:val="center"/>
        </w:trPr>
        <w:tc>
          <w:tcPr>
            <w:tcW w:w="2491" w:type="dxa"/>
            <w:gridSpan w:val="2"/>
            <w:tcBorders>
              <w:top w:val="single" w:color="auto" w:sz="4" w:space="0"/>
              <w:left w:val="single" w:color="auto" w:sz="4" w:space="0"/>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品牌评分</w:t>
            </w:r>
          </w:p>
        </w:tc>
        <w:tc>
          <w:tcPr>
            <w:tcW w:w="6235" w:type="dxa"/>
            <w:gridSpan w:val="3"/>
            <w:tcBorders>
              <w:top w:val="nil"/>
              <w:left w:val="nil"/>
              <w:bottom w:val="single" w:color="auto" w:sz="4" w:space="0"/>
              <w:right w:val="single" w:color="auto" w:sz="4" w:space="0"/>
            </w:tcBorders>
            <w:noWrap/>
            <w:vAlign w:val="center"/>
          </w:tcPr>
          <w:p>
            <w:pPr>
              <w:widowControl/>
              <w:snapToGrid w:val="0"/>
              <w:spacing w:line="360" w:lineRule="auto"/>
              <w:jc w:val="center"/>
              <w:rPr>
                <w:rFonts w:ascii="Times New Roman" w:hAnsi="Times New Roman" w:eastAsia="仿宋"/>
                <w:b/>
                <w:bCs/>
                <w:color w:val="000000" w:themeColor="text1"/>
                <w:kern w:val="0"/>
                <w:sz w:val="24"/>
                <w:szCs w:val="28"/>
                <w14:textFill>
                  <w14:solidFill>
                    <w14:schemeClr w14:val="tx1"/>
                  </w14:solidFill>
                </w14:textFill>
              </w:rPr>
            </w:pPr>
            <w:r>
              <w:rPr>
                <w:rFonts w:ascii="Times New Roman" w:hAnsi="Times New Roman" w:eastAsia="仿宋"/>
                <w:b/>
                <w:bCs/>
                <w:color w:val="000000" w:themeColor="text1"/>
                <w:kern w:val="0"/>
                <w:sz w:val="24"/>
                <w:szCs w:val="28"/>
                <w14:textFill>
                  <w14:solidFill>
                    <w14:schemeClr w14:val="tx1"/>
                  </w14:solidFill>
                </w14:textFill>
              </w:rPr>
              <w:t xml:space="preserve">7342/98 = 74.92 </w:t>
            </w:r>
          </w:p>
        </w:tc>
      </w:tr>
    </w:tbl>
    <w:p>
      <w:pPr>
        <w:spacing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p>
    <w:p>
      <w:pPr>
        <w:spacing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r>
        <w:rPr>
          <w:rFonts w:ascii="Times New Roman" w:hAnsi="Times New Roman" w:eastAsia="仿宋_GB2312"/>
          <w:b/>
          <w:bCs/>
          <w:color w:val="000000" w:themeColor="text1"/>
          <w:sz w:val="28"/>
          <w:szCs w:val="28"/>
          <w14:textFill>
            <w14:solidFill>
              <w14:schemeClr w14:val="tx1"/>
            </w14:solidFill>
          </w14:textFill>
        </w:rPr>
        <w:t>二、评级规则</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房地产中介服务品牌的信用等级分为：优质、诚信、预警和失信4个等级。</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35"/>
        <w:gridCol w:w="47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b/>
                <w:bCs/>
                <w:color w:val="000000" w:themeColor="text1"/>
                <w:sz w:val="24"/>
                <w:szCs w:val="28"/>
                <w14:textFill>
                  <w14:solidFill>
                    <w14:schemeClr w14:val="tx1"/>
                  </w14:solidFill>
                </w14:textFill>
              </w:rPr>
            </w:pPr>
            <w:r>
              <w:rPr>
                <w:rFonts w:ascii="Times New Roman" w:hAnsi="Times New Roman" w:eastAsia="仿宋"/>
                <w:b/>
                <w:bCs/>
                <w:color w:val="000000" w:themeColor="text1"/>
                <w:sz w:val="24"/>
                <w:szCs w:val="28"/>
                <w14:textFill>
                  <w14:solidFill>
                    <w14:schemeClr w14:val="tx1"/>
                  </w14:solidFill>
                </w14:textFill>
              </w:rPr>
              <w:t>信用等级</w:t>
            </w:r>
          </w:p>
        </w:tc>
        <w:tc>
          <w:tcPr>
            <w:tcW w:w="4776" w:type="dxa"/>
            <w:tcBorders>
              <w:top w:val="single" w:color="000000" w:sz="4" w:space="0"/>
              <w:left w:val="nil"/>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b/>
                <w:bCs/>
                <w:color w:val="000000" w:themeColor="text1"/>
                <w:sz w:val="24"/>
                <w:szCs w:val="28"/>
                <w14:textFill>
                  <w14:solidFill>
                    <w14:schemeClr w14:val="tx1"/>
                  </w14:solidFill>
                </w14:textFill>
              </w:rPr>
            </w:pPr>
            <w:r>
              <w:rPr>
                <w:rFonts w:ascii="Times New Roman" w:hAnsi="Times New Roman" w:eastAsia="仿宋"/>
                <w:b/>
                <w:bCs/>
                <w:color w:val="000000" w:themeColor="text1"/>
                <w:sz w:val="24"/>
                <w:szCs w:val="28"/>
                <w14:textFill>
                  <w14:solidFill>
                    <w14:schemeClr w14:val="tx1"/>
                  </w14:solidFill>
                </w14:textFill>
              </w:rPr>
              <w:t>须符合以下条件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优质</w:t>
            </w:r>
          </w:p>
        </w:tc>
        <w:tc>
          <w:tcPr>
            <w:tcW w:w="4776" w:type="dxa"/>
            <w:tcBorders>
              <w:top w:val="single" w:color="000000" w:sz="4" w:space="0"/>
              <w:left w:val="nil"/>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信用评分95分以上，且该品牌下所有总机构均未列入“失信”等级的情形。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诚信</w:t>
            </w:r>
          </w:p>
        </w:tc>
        <w:tc>
          <w:tcPr>
            <w:tcW w:w="4776" w:type="dxa"/>
            <w:tcBorders>
              <w:top w:val="single" w:color="000000" w:sz="4" w:space="0"/>
              <w:left w:val="nil"/>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信用评分70分及以上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预警</w:t>
            </w:r>
          </w:p>
        </w:tc>
        <w:tc>
          <w:tcPr>
            <w:tcW w:w="4776" w:type="dxa"/>
            <w:tcBorders>
              <w:top w:val="single" w:color="000000" w:sz="4" w:space="0"/>
              <w:left w:val="nil"/>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信用评分低于70分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失信</w:t>
            </w:r>
          </w:p>
        </w:tc>
        <w:tc>
          <w:tcPr>
            <w:tcW w:w="4776" w:type="dxa"/>
            <w:tcBorders>
              <w:top w:val="single" w:color="000000" w:sz="4" w:space="0"/>
              <w:left w:val="nil"/>
              <w:bottom w:val="single" w:color="000000" w:sz="4" w:space="0"/>
              <w:right w:val="single" w:color="000000" w:sz="4" w:space="0"/>
            </w:tcBorders>
            <w:shd w:val="clear" w:color="auto" w:fill="auto"/>
            <w:vAlign w:val="center"/>
          </w:tcPr>
          <w:p>
            <w:pPr>
              <w:snapToGrid w:val="0"/>
              <w:spacing w:line="360" w:lineRule="auto"/>
              <w:jc w:val="center"/>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信用评分低于60分</w:t>
            </w:r>
          </w:p>
        </w:tc>
      </w:tr>
    </w:tbl>
    <w:p>
      <w:pPr>
        <w:spacing w:before="120" w:beforeLines="50"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r>
        <w:rPr>
          <w:rFonts w:ascii="Times New Roman" w:hAnsi="Times New Roman" w:eastAsia="仿宋_GB2312"/>
          <w:b/>
          <w:bCs/>
          <w:color w:val="000000" w:themeColor="text1"/>
          <w:sz w:val="28"/>
          <w:szCs w:val="28"/>
          <w14:textFill>
            <w14:solidFill>
              <w14:schemeClr w14:val="tx1"/>
            </w14:solidFill>
          </w14:textFill>
        </w:rPr>
        <w:t>三、房地产中介服务品牌信息</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房地产中介服务品牌信息包括：房地产中介服务品牌名称、品牌归属、在广州市范围内使用该品牌名称的房地产中介服务机构名单等。</w:t>
      </w:r>
    </w:p>
    <w:p>
      <w:pPr>
        <w:spacing w:before="120" w:beforeLines="50"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r>
        <w:rPr>
          <w:rFonts w:ascii="Times New Roman" w:hAnsi="Times New Roman" w:eastAsia="仿宋_GB2312"/>
          <w:b/>
          <w:bCs/>
          <w:color w:val="000000" w:themeColor="text1"/>
          <w:sz w:val="28"/>
          <w:szCs w:val="28"/>
          <w14:textFill>
            <w14:solidFill>
              <w14:schemeClr w14:val="tx1"/>
            </w14:solidFill>
          </w14:textFill>
        </w:rPr>
        <w:t>四、评分评级的信息公示</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房地产中介服务品牌的信用评分评级信息采用社会公示的方式。</w:t>
      </w:r>
    </w:p>
    <w:p>
      <w:pPr>
        <w:spacing w:before="120" w:beforeLines="50"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r>
        <w:rPr>
          <w:rFonts w:ascii="Times New Roman" w:hAnsi="Times New Roman" w:eastAsia="仿宋_GB2312"/>
          <w:b/>
          <w:bCs/>
          <w:color w:val="000000" w:themeColor="text1"/>
          <w:sz w:val="28"/>
          <w:szCs w:val="28"/>
          <w14:textFill>
            <w14:solidFill>
              <w14:schemeClr w14:val="tx1"/>
            </w14:solidFill>
          </w14:textFill>
        </w:rPr>
        <w:t>五、规则的执行</w:t>
      </w:r>
    </w:p>
    <w:p>
      <w:pPr>
        <w:spacing w:line="360" w:lineRule="auto"/>
        <w:ind w:firstLine="480" w:firstLineChars="200"/>
        <w:rPr>
          <w:rFonts w:ascii="Times New Roman" w:hAnsi="Times New Roman" w:eastAsia="仿宋"/>
          <w:color w:val="000000" w:themeColor="text1"/>
          <w:sz w:val="24"/>
          <w:szCs w:val="28"/>
          <w14:textFill>
            <w14:solidFill>
              <w14:schemeClr w14:val="tx1"/>
            </w14:solidFill>
          </w14:textFill>
        </w:rPr>
      </w:pPr>
      <w:r>
        <w:rPr>
          <w:rFonts w:ascii="Times New Roman" w:hAnsi="Times New Roman" w:eastAsia="仿宋"/>
          <w:color w:val="000000" w:themeColor="text1"/>
          <w:sz w:val="24"/>
          <w:szCs w:val="28"/>
          <w14:textFill>
            <w14:solidFill>
              <w14:schemeClr w14:val="tx1"/>
            </w14:solidFill>
          </w14:textFill>
        </w:rPr>
        <w:t>房地产中介服务品牌的信息收集、评分评级及信息公示等相关工作，由协会秘书处负责。</w:t>
      </w:r>
    </w:p>
    <w:p>
      <w:pPr>
        <w:spacing w:before="120" w:beforeLines="50" w:line="360" w:lineRule="auto"/>
        <w:ind w:firstLine="562" w:firstLineChars="200"/>
        <w:rPr>
          <w:rFonts w:ascii="Times New Roman" w:hAnsi="Times New Roman" w:eastAsia="仿宋_GB2312"/>
          <w:b/>
          <w:bCs/>
          <w:color w:val="000000" w:themeColor="text1"/>
          <w:sz w:val="28"/>
          <w:szCs w:val="28"/>
          <w14:textFill>
            <w14:solidFill>
              <w14:schemeClr w14:val="tx1"/>
            </w14:solidFill>
          </w14:textFill>
        </w:rPr>
      </w:pPr>
      <w:r>
        <w:rPr>
          <w:rFonts w:ascii="Times New Roman" w:hAnsi="Times New Roman" w:eastAsia="仿宋_GB2312"/>
          <w:b/>
          <w:bCs/>
          <w:color w:val="000000" w:themeColor="text1"/>
          <w:sz w:val="28"/>
          <w:szCs w:val="28"/>
          <w14:textFill>
            <w14:solidFill>
              <w14:schemeClr w14:val="tx1"/>
            </w14:solidFill>
          </w14:textFill>
        </w:rPr>
        <w:t>六、规则的修订</w:t>
      </w:r>
    </w:p>
    <w:p>
      <w:pPr>
        <w:spacing w:line="360" w:lineRule="auto"/>
        <w:ind w:firstLine="480" w:firstLineChars="200"/>
        <w:rPr>
          <w:rFonts w:ascii="Times New Roman" w:hAnsi="Times New Roman" w:eastAsia="仿宋"/>
          <w:color w:val="FF0000"/>
          <w:sz w:val="24"/>
          <w:szCs w:val="28"/>
        </w:rPr>
      </w:pPr>
      <w:r>
        <w:rPr>
          <w:rFonts w:ascii="Times New Roman" w:hAnsi="Times New Roman" w:eastAsia="仿宋"/>
          <w:color w:val="000000" w:themeColor="text1"/>
          <w:sz w:val="24"/>
          <w:szCs w:val="28"/>
          <w14:textFill>
            <w14:solidFill>
              <w14:schemeClr w14:val="tx1"/>
            </w14:solidFill>
          </w14:textFill>
        </w:rPr>
        <w:t>本规则的修订经协会理事会审议通过后生效。</w:t>
      </w:r>
    </w:p>
    <w:p>
      <w:pPr>
        <w:widowControl/>
        <w:jc w:val="left"/>
        <w:rPr>
          <w:rFonts w:ascii="Times New Roman" w:hAnsi="Times New Roman" w:eastAsia="仿宋_GB2312"/>
          <w:color w:val="FF0000"/>
          <w:sz w:val="24"/>
          <w:szCs w:val="28"/>
        </w:rPr>
      </w:pPr>
      <w:r>
        <w:rPr>
          <w:rFonts w:ascii="Times New Roman" w:hAnsi="Times New Roman" w:eastAsia="仿宋_GB2312"/>
          <w:color w:val="FF0000"/>
          <w:sz w:val="24"/>
          <w:szCs w:val="28"/>
        </w:rPr>
        <w:br w:type="page"/>
      </w:r>
    </w:p>
    <w:p>
      <w:pPr>
        <w:pStyle w:val="3"/>
        <w:spacing w:before="120" w:beforeLines="50" w:after="120" w:afterLines="50" w:line="360" w:lineRule="auto"/>
        <w:jc w:val="center"/>
        <w:rPr>
          <w:rFonts w:ascii="Times New Roman" w:hAnsi="Times New Roman" w:eastAsia="黑体" w:cs="Times New Roman"/>
          <w:color w:val="000000" w:themeColor="text1"/>
          <w14:textFill>
            <w14:solidFill>
              <w14:schemeClr w14:val="tx1"/>
            </w14:solidFill>
          </w14:textFill>
        </w:rPr>
      </w:pPr>
      <w:bookmarkStart w:id="299" w:name="_Toc129785125"/>
      <w:bookmarkStart w:id="300" w:name="_Toc64643540"/>
      <w:bookmarkStart w:id="301" w:name="_Toc98168340"/>
      <w:r>
        <w:rPr>
          <w:rFonts w:ascii="Times New Roman" w:hAnsi="Times New Roman" w:eastAsia="黑体" w:cs="Times New Roman"/>
          <w:color w:val="000000" w:themeColor="text1"/>
          <w14:textFill>
            <w14:solidFill>
              <w14:schemeClr w14:val="tx1"/>
            </w14:solidFill>
          </w14:textFill>
        </w:rPr>
        <w:t>6.2022年广州市房地产中介受全市住建系统行政处罚汇总表</w:t>
      </w:r>
      <w:bookmarkEnd w:id="299"/>
      <w:bookmarkEnd w:id="300"/>
      <w:bookmarkEnd w:id="301"/>
    </w:p>
    <w:tbl>
      <w:tblPr>
        <w:tblStyle w:val="19"/>
        <w:tblW w:w="8981" w:type="dxa"/>
        <w:jc w:val="center"/>
        <w:tblLayout w:type="fixed"/>
        <w:tblCellMar>
          <w:top w:w="0" w:type="dxa"/>
          <w:left w:w="108" w:type="dxa"/>
          <w:bottom w:w="0" w:type="dxa"/>
          <w:right w:w="108" w:type="dxa"/>
        </w:tblCellMar>
      </w:tblPr>
      <w:tblGrid>
        <w:gridCol w:w="728"/>
        <w:gridCol w:w="1355"/>
        <w:gridCol w:w="3685"/>
        <w:gridCol w:w="1418"/>
        <w:gridCol w:w="850"/>
        <w:gridCol w:w="945"/>
      </w:tblGrid>
      <w:tr>
        <w:tblPrEx>
          <w:tblCellMar>
            <w:top w:w="0" w:type="dxa"/>
            <w:left w:w="108" w:type="dxa"/>
            <w:bottom w:w="0" w:type="dxa"/>
            <w:right w:w="108" w:type="dxa"/>
          </w:tblCellMar>
        </w:tblPrEx>
        <w:trPr>
          <w:trHeight w:val="525" w:hRule="atLeast"/>
          <w:jc w:val="center"/>
        </w:trPr>
        <w:tc>
          <w:tcPr>
            <w:tcW w:w="728"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bookmarkStart w:id="302" w:name="RANGE!A1"/>
            <w:bookmarkEnd w:id="302"/>
            <w:r>
              <w:rPr>
                <w:rFonts w:ascii="Times New Roman" w:hAnsi="Times New Roman" w:eastAsia="黑体"/>
                <w:b/>
                <w:bCs/>
                <w:color w:val="000000" w:themeColor="text1"/>
                <w:kern w:val="0"/>
                <w:szCs w:val="21"/>
                <w14:textFill>
                  <w14:solidFill>
                    <w14:schemeClr w14:val="tx1"/>
                  </w14:solidFill>
                </w14:textFill>
              </w:rPr>
              <w:t>序号</w:t>
            </w:r>
          </w:p>
        </w:tc>
        <w:tc>
          <w:tcPr>
            <w:tcW w:w="1355"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行政相对人名称</w:t>
            </w:r>
          </w:p>
        </w:tc>
        <w:tc>
          <w:tcPr>
            <w:tcW w:w="3685"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处罚事由</w:t>
            </w:r>
          </w:p>
        </w:tc>
        <w:tc>
          <w:tcPr>
            <w:tcW w:w="1418"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处罚时间</w:t>
            </w:r>
          </w:p>
        </w:tc>
        <w:tc>
          <w:tcPr>
            <w:tcW w:w="850"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处罚</w:t>
            </w:r>
          </w:p>
          <w:p>
            <w:pPr>
              <w:widowControl/>
              <w:snapToGrid w:val="0"/>
              <w:spacing w:line="276" w:lineRule="auto"/>
              <w:jc w:val="center"/>
              <w:rPr>
                <w:rFonts w:ascii="Times New Roman" w:hAnsi="Times New Roman" w:eastAsia="黑体"/>
                <w:color w:val="000000" w:themeColor="text1"/>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类别</w:t>
            </w:r>
          </w:p>
        </w:tc>
        <w:tc>
          <w:tcPr>
            <w:tcW w:w="945"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信用</w:t>
            </w:r>
          </w:p>
          <w:p>
            <w:pPr>
              <w:widowControl/>
              <w:snapToGrid w:val="0"/>
              <w:spacing w:line="276" w:lineRule="auto"/>
              <w:jc w:val="center"/>
              <w:rPr>
                <w:rFonts w:ascii="Times New Roman" w:hAnsi="Times New Roman" w:eastAsia="黑体"/>
                <w:b/>
                <w:bCs/>
                <w:color w:val="000000" w:themeColor="text1"/>
                <w:kern w:val="0"/>
                <w:szCs w:val="21"/>
                <w14:textFill>
                  <w14:solidFill>
                    <w14:schemeClr w14:val="tx1"/>
                  </w14:solidFill>
                </w14:textFill>
              </w:rPr>
            </w:pPr>
            <w:r>
              <w:rPr>
                <w:rFonts w:ascii="Times New Roman" w:hAnsi="Times New Roman" w:eastAsia="黑体"/>
                <w:b/>
                <w:bCs/>
                <w:color w:val="000000" w:themeColor="text1"/>
                <w:kern w:val="0"/>
                <w:szCs w:val="21"/>
                <w14:textFill>
                  <w14:solidFill>
                    <w14:schemeClr w14:val="tx1"/>
                  </w14:solidFill>
                </w14:textFill>
              </w:rPr>
              <w:t>扣分</w:t>
            </w:r>
          </w:p>
        </w:tc>
      </w:tr>
      <w:tr>
        <w:tblPrEx>
          <w:tblCellMar>
            <w:top w:w="0" w:type="dxa"/>
            <w:left w:w="108" w:type="dxa"/>
            <w:bottom w:w="0" w:type="dxa"/>
            <w:right w:w="108" w:type="dxa"/>
          </w:tblCellMar>
        </w:tblPrEx>
        <w:trPr>
          <w:trHeight w:val="48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1</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李*瑞</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李*瑞在为刘某购买广州市天河区黄埔大道中路152号某房提供中介服务的过程中，存在为禁止转让和抵押的房地产提供中介服务的违法行为。</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2022/1/5</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tblPrEx>
          <w:tblCellMar>
            <w:top w:w="0" w:type="dxa"/>
            <w:left w:w="108" w:type="dxa"/>
            <w:bottom w:w="0" w:type="dxa"/>
            <w:right w:w="108" w:type="dxa"/>
          </w:tblCellMar>
        </w:tblPrEx>
        <w:trPr>
          <w:trHeight w:val="51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2</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孙*耀</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孙*耀在为刘某购买广州市天河区黄埔大道中路152号某房提供中介服务的过程中，存在为禁止转让和抵押的房地产提供中介服务的违法行为。</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2022/1/5</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无信用档案</w:t>
            </w:r>
          </w:p>
        </w:tc>
      </w:tr>
      <w:tr>
        <w:tblPrEx>
          <w:tblCellMar>
            <w:top w:w="0" w:type="dxa"/>
            <w:left w:w="108" w:type="dxa"/>
            <w:bottom w:w="0" w:type="dxa"/>
            <w:right w:w="108" w:type="dxa"/>
          </w:tblCellMar>
        </w:tblPrEx>
        <w:trPr>
          <w:trHeight w:val="51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3</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广州市上居房地产代理有限公司</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经调查，2020年5月1日，上居公司在为卖方汤某与买方李某就荔湾区某房屋交易提供中介服务时，存在为交易当事人规避房屋交易税费等非法目的，就同一房屋签订不同交易价款的合同提供便利的行为。</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2022/1/17</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CellMar>
            <w:top w:w="0" w:type="dxa"/>
            <w:left w:w="108" w:type="dxa"/>
            <w:bottom w:w="0" w:type="dxa"/>
            <w:right w:w="108" w:type="dxa"/>
          </w:tblCellMar>
        </w:tblPrEx>
        <w:trPr>
          <w:trHeight w:val="96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4</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黄*波</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2020年5月1日，黄*波在为卖方汤某与买方李某就荔湾区某房屋交易提供中介服务时，存在为交易当事人规避房屋交易税费等非法目的，就同一房屋签订不同交易价款的合同提供便利的行为。</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2022/1/17</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CellMar>
            <w:top w:w="0" w:type="dxa"/>
            <w:left w:w="108" w:type="dxa"/>
            <w:bottom w:w="0" w:type="dxa"/>
            <w:right w:w="108" w:type="dxa"/>
          </w:tblCellMar>
        </w:tblPrEx>
        <w:trPr>
          <w:trHeight w:val="27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5</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广州晟创房地产代理有限公司</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2021年10月9日，广州晟创房地产代理有限公司未书面告知交易当事人房地产中介机构及其执业人员与当事人是存在利害关系。</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2022/4/20</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责令整改、信用扣分</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highlight w:val="yellow"/>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CellMar>
            <w:top w:w="0" w:type="dxa"/>
            <w:left w:w="108" w:type="dxa"/>
            <w:bottom w:w="0" w:type="dxa"/>
            <w:right w:w="108" w:type="dxa"/>
          </w:tblCellMar>
        </w:tblPrEx>
        <w:trPr>
          <w:trHeight w:val="27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6</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杨*权</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2021年10月9日，广州晟创房地产代理有限公司未书面告知交易当事人房地产中介机构及其执业人员与当事人是存在利害关系。</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2022/4/20</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责令整改、信用扣分</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highlight w:val="yellow"/>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CellMar>
            <w:top w:w="0" w:type="dxa"/>
            <w:left w:w="108" w:type="dxa"/>
            <w:bottom w:w="0" w:type="dxa"/>
            <w:right w:w="108" w:type="dxa"/>
          </w:tblCellMar>
        </w:tblPrEx>
        <w:trPr>
          <w:trHeight w:val="27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7</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广州领航置业有限公司</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经查，广州领航置业有限公司为广州市番禺区大石街诜村环村南路2号湘粤农贸市场1栋703房提供经纪服务时存在为禁止交易的房屋提供经纪服务的行为。</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2022/4/7</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罚款、取消网上签约资格</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tblPrEx>
          <w:tblCellMar>
            <w:top w:w="0" w:type="dxa"/>
            <w:left w:w="108" w:type="dxa"/>
            <w:bottom w:w="0" w:type="dxa"/>
            <w:right w:w="108" w:type="dxa"/>
          </w:tblCellMar>
        </w:tblPrEx>
        <w:trPr>
          <w:trHeight w:val="72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8</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广州幸福汇房产代理有限公司</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签订房地产经纪服务合同前未向交易当事人说明和书面告知规定事项立案调查。</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2022/7/19</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CellMar>
            <w:top w:w="0" w:type="dxa"/>
            <w:left w:w="108" w:type="dxa"/>
            <w:bottom w:w="0" w:type="dxa"/>
            <w:right w:w="108" w:type="dxa"/>
          </w:tblCellMar>
        </w:tblPrEx>
        <w:trPr>
          <w:trHeight w:val="282"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9</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游*明</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签订房地产经纪服务合同前未向交易当事人说明和书面告知规定事项立案调查。</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2022/7/29</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罚款</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tblPrEx>
          <w:tblCellMar>
            <w:top w:w="0" w:type="dxa"/>
            <w:left w:w="108" w:type="dxa"/>
            <w:bottom w:w="0" w:type="dxa"/>
            <w:right w:w="108" w:type="dxa"/>
          </w:tblCellMar>
        </w:tblPrEx>
        <w:trPr>
          <w:trHeight w:val="510" w:hRule="atLeast"/>
          <w:jc w:val="center"/>
        </w:trPr>
        <w:tc>
          <w:tcPr>
            <w:tcW w:w="728" w:type="dxa"/>
            <w:tcBorders>
              <w:top w:val="nil"/>
              <w:left w:val="single" w:color="auto" w:sz="4" w:space="0"/>
              <w:bottom w:val="single" w:color="auto" w:sz="4" w:space="0"/>
              <w:right w:val="single" w:color="auto" w:sz="4" w:space="0"/>
            </w:tcBorders>
            <w:vAlign w:val="center"/>
          </w:tcPr>
          <w:p>
            <w:pPr>
              <w:widowControl/>
              <w:snapToGrid w:val="0"/>
              <w:spacing w:line="276" w:lineRule="auto"/>
              <w:jc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14:textFill>
                  <w14:solidFill>
                    <w14:schemeClr w14:val="tx1"/>
                  </w14:solidFill>
                </w14:textFill>
              </w:rPr>
              <w:t>10</w:t>
            </w:r>
          </w:p>
        </w:tc>
        <w:tc>
          <w:tcPr>
            <w:tcW w:w="135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广州美居房地产咨询有限公司</w:t>
            </w:r>
          </w:p>
        </w:tc>
        <w:tc>
          <w:tcPr>
            <w:tcW w:w="3685" w:type="dxa"/>
            <w:tcBorders>
              <w:top w:val="nil"/>
              <w:left w:val="nil"/>
              <w:bottom w:val="single" w:color="auto" w:sz="4" w:space="0"/>
              <w:right w:val="single" w:color="auto" w:sz="4" w:space="0"/>
            </w:tcBorders>
            <w:vAlign w:val="center"/>
          </w:tcPr>
          <w:p>
            <w:pP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2021年11月1日，广州美居房地产咨询有限公司在为买方王某与卖方黄某就广州市越秀区某房屋交易提供中介服务时，存在不书面向服务对象说明中介服务涉及的房地产的抵押情况的行为。</w:t>
            </w:r>
          </w:p>
        </w:tc>
        <w:tc>
          <w:tcPr>
            <w:tcW w:w="1418"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2022/7/18</w:t>
            </w:r>
          </w:p>
        </w:tc>
        <w:tc>
          <w:tcPr>
            <w:tcW w:w="850"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警告</w:t>
            </w:r>
          </w:p>
        </w:tc>
        <w:tc>
          <w:tcPr>
            <w:tcW w:w="945" w:type="dxa"/>
            <w:tcBorders>
              <w:top w:val="nil"/>
              <w:left w:val="nil"/>
              <w:bottom w:val="single" w:color="auto" w:sz="4" w:space="0"/>
              <w:right w:val="single" w:color="auto" w:sz="4" w:space="0"/>
            </w:tcBorders>
            <w:vAlign w:val="center"/>
          </w:tcPr>
          <w:p>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bl>
    <w:p>
      <w:pPr>
        <w:pStyle w:val="26"/>
        <w:ind w:firstLine="0"/>
        <w:rPr>
          <w:rFonts w:hint="default"/>
          <w:color w:val="FF0000"/>
        </w:rPr>
      </w:pPr>
    </w:p>
    <w:sectPr>
      <w:footerReference r:id="rId8" w:type="first"/>
      <w:footerReference r:id="rId7" w:type="default"/>
      <w:pgSz w:w="11906" w:h="16838"/>
      <w:pgMar w:top="1418" w:right="1418" w:bottom="1418" w:left="1418" w:header="851" w:footer="1020" w:gutter="0"/>
      <w:pgNumType w:start="1" w:chapStyle="1"/>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NanumGothic">
    <w:panose1 w:val="020D0604000000000000"/>
    <w:charset w:val="81"/>
    <w:family w:val="auto"/>
    <w:pitch w:val="default"/>
    <w:sig w:usb0="900002A7" w:usb1="29D7FCFB" w:usb2="00000010" w:usb3="00000000" w:csb0="00080001"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2662194"/>
    </w:sdtPr>
    <w:sdtContent>
      <w:p>
        <w:pPr>
          <w:pStyle w:val="12"/>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12"/>
      <w:jc w:val="center"/>
      <w:rPr>
        <w:rFonts w:eastAsiaTheme="minor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eastAsia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2662194"/>
    </w:sdtPr>
    <w:sdtContent>
      <w:p>
        <w:pPr>
          <w:pStyle w:val="12"/>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12"/>
      <w:jc w:val="center"/>
      <w:rPr>
        <w:rFonts w:eastAsiaTheme="minor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6598155"/>
    </w:sdtPr>
    <w:sdtContent>
      <w:p>
        <w:pPr>
          <w:pStyle w:val="12"/>
          <w:jc w:val="center"/>
        </w:pPr>
        <w:r>
          <w:fldChar w:fldCharType="begin"/>
        </w:r>
        <w:r>
          <w:instrText xml:space="preserve">PAGE   \* MERGEFORMAT</w:instrText>
        </w:r>
        <w:r>
          <w:fldChar w:fldCharType="separate"/>
        </w:r>
        <w:r>
          <w:rPr>
            <w:lang w:val="zh-CN"/>
          </w:rPr>
          <w:t>1</w:t>
        </w:r>
        <w:r>
          <w:rPr>
            <w:lang w:val="zh-CN"/>
          </w:rPr>
          <w:fldChar w:fldCharType="end"/>
        </w:r>
      </w:p>
    </w:sdtContent>
  </w:sdt>
  <w:p>
    <w:pPr>
      <w:pStyle w:val="1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r>
        <w:separator/>
      </w:r>
    </w:p>
  </w:footnote>
  <w:footnote w:type="continuationSeparator" w:id="21">
    <w:p>
      <w:r>
        <w:continuationSeparator/>
      </w:r>
    </w:p>
  </w:footnote>
  <w:footnote w:id="0">
    <w:p>
      <w:pPr>
        <w:pStyle w:val="15"/>
      </w:pPr>
      <w:r>
        <w:rPr>
          <w:rStyle w:val="25"/>
        </w:rPr>
        <w:footnoteRef/>
      </w:r>
      <w:r>
        <w:rPr>
          <w:rFonts w:hint="eastAsia"/>
        </w:rPr>
        <w:t>因疫情影响，广州市2022年房地产中介机构年度检查于2023年2月15日结束。</w:t>
      </w:r>
    </w:p>
  </w:footnote>
  <w:footnote w:id="1">
    <w:p>
      <w:pPr>
        <w:pStyle w:val="15"/>
      </w:pPr>
      <w:r>
        <w:rPr>
          <w:rStyle w:val="25"/>
        </w:rPr>
        <w:footnoteRef/>
      </w:r>
      <w:r>
        <w:rPr>
          <w:rFonts w:hint="eastAsia"/>
        </w:rPr>
        <w:t>本报告不对已注销备案证书的房地产中介机构做信用等级评价及分析。</w:t>
      </w:r>
    </w:p>
  </w:footnote>
  <w:footnote w:id="2">
    <w:p>
      <w:pPr>
        <w:pStyle w:val="15"/>
        <w:spacing w:line="276" w:lineRule="auto"/>
        <w:rPr>
          <w:rFonts w:ascii="Times New Roman" w:hAnsi="Times New Roman"/>
        </w:rPr>
      </w:pPr>
      <w:r>
        <w:rPr>
          <w:rStyle w:val="25"/>
          <w:rFonts w:ascii="Times New Roman" w:hAnsi="Times New Roman"/>
        </w:rPr>
        <w:footnoteRef/>
      </w:r>
      <w:r>
        <w:rPr>
          <w:rFonts w:ascii="Times New Roman" w:hAnsi="Times New Roman"/>
        </w:rPr>
        <w:t>信用等级为“</w:t>
      </w:r>
      <w:r>
        <w:rPr>
          <w:rFonts w:ascii="Times New Roman" w:hAnsi="Times New Roman"/>
          <w:b/>
        </w:rPr>
        <w:t>优质</w:t>
      </w:r>
      <w:r>
        <w:rPr>
          <w:rFonts w:ascii="Times New Roman" w:hAnsi="Times New Roman"/>
        </w:rPr>
        <w:t>”的中介机构须同时符合以下条件：1、信用评分95分以上；2、依法设立且在行政主管部门连续备案满4年；3、过往3年的年终信用等级结果未被评为预警或失信；4、过往2年及当年未被行政主管部门通报批评或行政处罚；5、机构从业人员信用信息卡持卡率需达到80%以上。</w:t>
      </w:r>
    </w:p>
  </w:footnote>
  <w:footnote w:id="3">
    <w:p>
      <w:pPr>
        <w:pStyle w:val="15"/>
        <w:spacing w:line="276" w:lineRule="auto"/>
        <w:rPr>
          <w:rFonts w:ascii="Times New Roman" w:hAnsi="Times New Roman"/>
        </w:rPr>
      </w:pPr>
      <w:r>
        <w:rPr>
          <w:rStyle w:val="25"/>
          <w:rFonts w:ascii="Times New Roman" w:hAnsi="Times New Roman"/>
        </w:rPr>
        <w:footnoteRef/>
      </w:r>
      <w:r>
        <w:rPr>
          <w:rFonts w:ascii="Times New Roman" w:hAnsi="Times New Roman"/>
        </w:rPr>
        <w:t>信用等级为“</w:t>
      </w:r>
      <w:r>
        <w:rPr>
          <w:rFonts w:ascii="Times New Roman" w:hAnsi="Times New Roman"/>
          <w:b/>
        </w:rPr>
        <w:t>良好</w:t>
      </w:r>
      <w:r>
        <w:rPr>
          <w:rFonts w:ascii="Times New Roman" w:hAnsi="Times New Roman"/>
        </w:rPr>
        <w:t>”的中介机构须同时符合以下条件：1、信用评分90分以上；2、依法设立且在行政主管部门连续备案满3年，且每年按时参加年检；3、过往2年的年终信用等级结果未被评为预警或失信；4、过往2年及当年未被行政主管部门通报批评或行政处罚。5、机构从业人员信用信息卡持卡率需达到80%以上。</w:t>
      </w:r>
    </w:p>
  </w:footnote>
  <w:footnote w:id="4">
    <w:p>
      <w:pPr>
        <w:pStyle w:val="15"/>
        <w:spacing w:line="276" w:lineRule="auto"/>
        <w:rPr>
          <w:rFonts w:ascii="Times New Roman" w:hAnsi="Times New Roman"/>
        </w:rPr>
      </w:pPr>
      <w:r>
        <w:rPr>
          <w:rStyle w:val="25"/>
          <w:rFonts w:ascii="Times New Roman" w:hAnsi="Times New Roman"/>
        </w:rPr>
        <w:footnoteRef/>
      </w:r>
      <w:r>
        <w:rPr>
          <w:rFonts w:ascii="Times New Roman" w:hAnsi="Times New Roman"/>
        </w:rPr>
        <w:t>信用等级为“</w:t>
      </w:r>
      <w:r>
        <w:rPr>
          <w:rFonts w:ascii="Times New Roman" w:hAnsi="Times New Roman"/>
          <w:b/>
        </w:rPr>
        <w:t>诚信</w:t>
      </w:r>
      <w:r>
        <w:rPr>
          <w:rFonts w:ascii="Times New Roman" w:hAnsi="Times New Roman"/>
        </w:rPr>
        <w:t>”的中介机构，须同时符合以下条件：1、信用评分70分及以上；2、单位：依法设立且在行政主管部门办理备案满2年，且每年按时参加年检。</w:t>
      </w:r>
    </w:p>
  </w:footnote>
  <w:footnote w:id="5">
    <w:p>
      <w:pPr>
        <w:pStyle w:val="15"/>
        <w:spacing w:line="276" w:lineRule="auto"/>
        <w:rPr>
          <w:rFonts w:ascii="Times New Roman" w:hAnsi="Times New Roman"/>
        </w:rPr>
      </w:pPr>
      <w:r>
        <w:rPr>
          <w:rStyle w:val="25"/>
          <w:rFonts w:ascii="Times New Roman" w:hAnsi="Times New Roman"/>
          <w:sz w:val="21"/>
        </w:rPr>
        <w:footnoteRef/>
      </w:r>
      <w:r>
        <w:rPr>
          <w:rFonts w:ascii="Times New Roman" w:hAnsi="Times New Roman"/>
        </w:rPr>
        <w:t xml:space="preserve"> 信用等级为“</w:t>
      </w:r>
      <w:r>
        <w:rPr>
          <w:rFonts w:ascii="Times New Roman" w:hAnsi="Times New Roman"/>
          <w:b/>
        </w:rPr>
        <w:t>暂定诚信</w:t>
      </w:r>
      <w:r>
        <w:rPr>
          <w:rFonts w:ascii="Times New Roman" w:hAnsi="Times New Roman"/>
        </w:rPr>
        <w:t>”的中介机构需同时符合条件：1、信用评分70分及以上；2、依法设立且在行政主管部门办理备案，但未满2年。</w:t>
      </w:r>
    </w:p>
  </w:footnote>
  <w:footnote w:id="6">
    <w:p>
      <w:pPr>
        <w:pStyle w:val="15"/>
        <w:spacing w:line="276" w:lineRule="auto"/>
      </w:pPr>
      <w:r>
        <w:rPr>
          <w:rStyle w:val="25"/>
          <w:rFonts w:ascii="Times New Roman" w:hAnsi="Times New Roman"/>
          <w:sz w:val="21"/>
        </w:rPr>
        <w:footnoteRef/>
      </w:r>
      <w:r>
        <w:rPr>
          <w:rFonts w:ascii="Times New Roman" w:hAnsi="Times New Roman"/>
        </w:rPr>
        <w:t>信用等级为“</w:t>
      </w:r>
      <w:r>
        <w:rPr>
          <w:rFonts w:ascii="Times New Roman" w:hAnsi="Times New Roman"/>
          <w:b/>
        </w:rPr>
        <w:t>预警</w:t>
      </w:r>
      <w:r>
        <w:rPr>
          <w:rFonts w:ascii="Times New Roman" w:hAnsi="Times New Roman"/>
        </w:rPr>
        <w:t>”的中介机构符合以下情形之一：1、信用评分低于70分；2、当年出现经自律委员会认定应当直接列入“预警”等级情形的。</w:t>
      </w:r>
    </w:p>
  </w:footnote>
  <w:footnote w:id="7">
    <w:p>
      <w:pPr>
        <w:pStyle w:val="15"/>
        <w:spacing w:line="276" w:lineRule="auto"/>
        <w:rPr>
          <w:rFonts w:ascii="Times New Roman" w:hAnsi="Times New Roman"/>
        </w:rPr>
      </w:pPr>
      <w:r>
        <w:rPr>
          <w:rStyle w:val="25"/>
          <w:rFonts w:ascii="Times New Roman" w:hAnsi="Times New Roman"/>
        </w:rPr>
        <w:footnoteRef/>
      </w:r>
      <w:r>
        <w:rPr>
          <w:rFonts w:ascii="Times New Roman" w:hAnsi="Times New Roman"/>
        </w:rPr>
        <w:t>有以下情形之一时，信用等级为“</w:t>
      </w:r>
      <w:r>
        <w:rPr>
          <w:rFonts w:ascii="Times New Roman" w:hAnsi="Times New Roman"/>
          <w:b/>
        </w:rPr>
        <w:t>失信</w:t>
      </w:r>
      <w:r>
        <w:rPr>
          <w:rFonts w:ascii="Times New Roman" w:hAnsi="Times New Roman"/>
        </w:rPr>
        <w:t>”：1、信用评分低于60分；2、当年出现经自律委员会认定应当直接列入“失信”等级的。</w:t>
      </w:r>
    </w:p>
  </w:footnote>
  <w:footnote w:id="8">
    <w:p>
      <w:pPr>
        <w:pStyle w:val="15"/>
      </w:pPr>
      <w:r>
        <w:rPr>
          <w:rStyle w:val="25"/>
        </w:rPr>
        <w:footnoteRef/>
      </w:r>
      <w:r>
        <w:rPr>
          <w:rFonts w:hint="eastAsia"/>
        </w:rPr>
        <w:t>信用等级为“暂定诚信”的从业人员需同时符合条件：1、信用评分70分及以上；2、按规定办理从业登记手续，但连续从业未满2年。</w:t>
      </w:r>
    </w:p>
  </w:footnote>
  <w:footnote w:id="9">
    <w:p>
      <w:pPr>
        <w:pStyle w:val="15"/>
      </w:pPr>
      <w:r>
        <w:rPr>
          <w:rStyle w:val="25"/>
        </w:rPr>
        <w:footnoteRef/>
      </w:r>
      <w:r>
        <w:rPr>
          <w:rFonts w:hint="eastAsia"/>
        </w:rPr>
        <w:t>信用等级为“预警”的从业人员符合以下情形之一：1、信用评分低于70分；2、当年出现经自律委员会认定应当直接列入“预警”等级情形的。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39D84"/>
    <w:multiLevelType w:val="singleLevel"/>
    <w:tmpl w:val="82239D84"/>
    <w:lvl w:ilvl="0" w:tentative="0">
      <w:start w:val="1"/>
      <w:numFmt w:val="decimal"/>
      <w:lvlText w:val="%1."/>
      <w:lvlJc w:val="left"/>
      <w:pPr>
        <w:ind w:left="425" w:hanging="425"/>
      </w:pPr>
      <w:rPr>
        <w:rFonts w:hint="default"/>
      </w:rPr>
    </w:lvl>
  </w:abstractNum>
  <w:abstractNum w:abstractNumId="1">
    <w:nsid w:val="AD27272E"/>
    <w:multiLevelType w:val="singleLevel"/>
    <w:tmpl w:val="AD27272E"/>
    <w:lvl w:ilvl="0" w:tentative="0">
      <w:start w:val="1"/>
      <w:numFmt w:val="decimal"/>
      <w:lvlText w:val="%1."/>
      <w:lvlJc w:val="left"/>
      <w:pPr>
        <w:ind w:left="425" w:hanging="425"/>
      </w:pPr>
      <w:rPr>
        <w:rFonts w:hint="default"/>
      </w:rPr>
    </w:lvl>
  </w:abstractNum>
  <w:abstractNum w:abstractNumId="2">
    <w:nsid w:val="EB306FD7"/>
    <w:multiLevelType w:val="singleLevel"/>
    <w:tmpl w:val="EB306FD7"/>
    <w:lvl w:ilvl="0" w:tentative="0">
      <w:start w:val="1"/>
      <w:numFmt w:val="decimal"/>
      <w:lvlText w:val="%1."/>
      <w:lvlJc w:val="left"/>
      <w:pPr>
        <w:ind w:left="425" w:hanging="425"/>
      </w:pPr>
      <w:rPr>
        <w:rFonts w:hint="default"/>
      </w:rPr>
    </w:lvl>
  </w:abstractNum>
  <w:abstractNum w:abstractNumId="3">
    <w:nsid w:val="085C5CE3"/>
    <w:multiLevelType w:val="multilevel"/>
    <w:tmpl w:val="085C5C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767C0CD"/>
    <w:multiLevelType w:val="singleLevel"/>
    <w:tmpl w:val="2767C0CD"/>
    <w:lvl w:ilvl="0" w:tentative="0">
      <w:start w:val="1"/>
      <w:numFmt w:val="decimal"/>
      <w:lvlText w:val="%1."/>
      <w:lvlJc w:val="left"/>
      <w:pPr>
        <w:ind w:left="425" w:hanging="425"/>
      </w:pPr>
      <w:rPr>
        <w:rFonts w:hint="default"/>
      </w:rPr>
    </w:lvl>
  </w:abstractNum>
  <w:abstractNum w:abstractNumId="5">
    <w:nsid w:val="336E3BD5"/>
    <w:multiLevelType w:val="multilevel"/>
    <w:tmpl w:val="336E3BD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39C54EFF"/>
    <w:multiLevelType w:val="singleLevel"/>
    <w:tmpl w:val="39C54EFF"/>
    <w:lvl w:ilvl="0" w:tentative="0">
      <w:start w:val="1"/>
      <w:numFmt w:val="decimal"/>
      <w:lvlText w:val="%1."/>
      <w:lvlJc w:val="left"/>
      <w:pPr>
        <w:ind w:left="425" w:hanging="425"/>
      </w:pPr>
      <w:rPr>
        <w:rFonts w:hint="default"/>
      </w:rPr>
    </w:lvl>
  </w:abstractNum>
  <w:abstractNum w:abstractNumId="7">
    <w:nsid w:val="42810EC6"/>
    <w:multiLevelType w:val="multilevel"/>
    <w:tmpl w:val="42810EC6"/>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45F62B85"/>
    <w:multiLevelType w:val="singleLevel"/>
    <w:tmpl w:val="45F62B85"/>
    <w:lvl w:ilvl="0" w:tentative="0">
      <w:start w:val="1"/>
      <w:numFmt w:val="decimal"/>
      <w:lvlText w:val="%1."/>
      <w:lvlJc w:val="left"/>
      <w:pPr>
        <w:ind w:left="425" w:hanging="425"/>
      </w:pPr>
      <w:rPr>
        <w:rFonts w:hint="default"/>
      </w:rPr>
    </w:lvl>
  </w:abstractNum>
  <w:abstractNum w:abstractNumId="9">
    <w:nsid w:val="5A9DEF9B"/>
    <w:multiLevelType w:val="singleLevel"/>
    <w:tmpl w:val="5A9DEF9B"/>
    <w:lvl w:ilvl="0" w:tentative="0">
      <w:start w:val="1"/>
      <w:numFmt w:val="decimal"/>
      <w:lvlText w:val="%1."/>
      <w:lvlJc w:val="left"/>
      <w:pPr>
        <w:ind w:left="425" w:hanging="425"/>
      </w:pPr>
      <w:rPr>
        <w:rFonts w:hint="default" w:cs="Times New Roman"/>
      </w:rPr>
    </w:lvl>
  </w:abstractNum>
  <w:abstractNum w:abstractNumId="10">
    <w:nsid w:val="61C46860"/>
    <w:multiLevelType w:val="multilevel"/>
    <w:tmpl w:val="61C46860"/>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1">
    <w:nsid w:val="7D771F5C"/>
    <w:multiLevelType w:val="multilevel"/>
    <w:tmpl w:val="7D771F5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6"/>
  </w:num>
  <w:num w:numId="3">
    <w:abstractNumId w:val="7"/>
  </w:num>
  <w:num w:numId="4">
    <w:abstractNumId w:val="0"/>
  </w:num>
  <w:num w:numId="5">
    <w:abstractNumId w:val="8"/>
  </w:num>
  <w:num w:numId="6">
    <w:abstractNumId w:val="3"/>
  </w:num>
  <w:num w:numId="7">
    <w:abstractNumId w:val="11"/>
  </w:num>
  <w:num w:numId="8">
    <w:abstractNumId w:val="9"/>
  </w:num>
  <w:num w:numId="9">
    <w:abstractNumId w:val="5"/>
  </w:num>
  <w:num w:numId="10">
    <w:abstractNumId w:val="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true"/>
  <w:bordersDoNotSurroundFooter w:val="true"/>
  <w:hideSpellingErrors/>
  <w:trackRevisions w:val="true"/>
  <w:documentProtection w:enforcement="0"/>
  <w:defaultTabStop w:val="420"/>
  <w:drawingGridVerticalSpacing w:val="156"/>
  <w:noPunctuationKerning w:val="true"/>
  <w:characterSpacingControl w:val="compressPunctuation"/>
  <w:noLineBreaksAfter w:lang="zh-CN" w:val="$([{£¥·‘“〈《「『【〔〖〝﹙﹛﹝＄（．［｛￡￥"/>
  <w:noLineBreaksBefore w:lang="zh-CN" w:val="!%),.:;&gt;?]}¢¨°·ˇˉ―‖’”…‰′″›℃∶、。〃〉》」』】〕〗〞︶︺︾﹀﹄﹚﹜﹞！＂％＇），．：；？］｀｜｝～￠"/>
  <w:footnotePr>
    <w:footnote w:id="20"/>
    <w:footnote w:id="2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MDFkY2ZjY2I3MGFjMTEwYzZjYzc3MjcxM2Y3YjMifQ=="/>
  </w:docVars>
  <w:rsids>
    <w:rsidRoot w:val="00082FFA"/>
    <w:rsid w:val="00000051"/>
    <w:rsid w:val="00000AA6"/>
    <w:rsid w:val="00002C26"/>
    <w:rsid w:val="00004843"/>
    <w:rsid w:val="00004C24"/>
    <w:rsid w:val="00005AEE"/>
    <w:rsid w:val="00005DB2"/>
    <w:rsid w:val="00006564"/>
    <w:rsid w:val="00007488"/>
    <w:rsid w:val="000076A0"/>
    <w:rsid w:val="00007A0F"/>
    <w:rsid w:val="00007E72"/>
    <w:rsid w:val="0001074C"/>
    <w:rsid w:val="00011FD7"/>
    <w:rsid w:val="00012734"/>
    <w:rsid w:val="00014C6D"/>
    <w:rsid w:val="00016428"/>
    <w:rsid w:val="000176CA"/>
    <w:rsid w:val="0002123B"/>
    <w:rsid w:val="00025A0D"/>
    <w:rsid w:val="00026B34"/>
    <w:rsid w:val="0002705C"/>
    <w:rsid w:val="00027243"/>
    <w:rsid w:val="000305E2"/>
    <w:rsid w:val="00030F61"/>
    <w:rsid w:val="00031E5C"/>
    <w:rsid w:val="00032A8E"/>
    <w:rsid w:val="00034484"/>
    <w:rsid w:val="00034802"/>
    <w:rsid w:val="00034C6B"/>
    <w:rsid w:val="00035DE1"/>
    <w:rsid w:val="00035EC7"/>
    <w:rsid w:val="00035FF9"/>
    <w:rsid w:val="000362A8"/>
    <w:rsid w:val="000369C6"/>
    <w:rsid w:val="000370DC"/>
    <w:rsid w:val="00041C85"/>
    <w:rsid w:val="00042697"/>
    <w:rsid w:val="000437AF"/>
    <w:rsid w:val="00047604"/>
    <w:rsid w:val="000523EB"/>
    <w:rsid w:val="000534E2"/>
    <w:rsid w:val="000541EE"/>
    <w:rsid w:val="000541F8"/>
    <w:rsid w:val="00054C85"/>
    <w:rsid w:val="00056F5A"/>
    <w:rsid w:val="00057BB4"/>
    <w:rsid w:val="00060B27"/>
    <w:rsid w:val="00060E27"/>
    <w:rsid w:val="0006122E"/>
    <w:rsid w:val="00061458"/>
    <w:rsid w:val="0006212B"/>
    <w:rsid w:val="00062A99"/>
    <w:rsid w:val="00063B3E"/>
    <w:rsid w:val="000665BB"/>
    <w:rsid w:val="00066B39"/>
    <w:rsid w:val="00066DDA"/>
    <w:rsid w:val="00067047"/>
    <w:rsid w:val="00067397"/>
    <w:rsid w:val="000704F8"/>
    <w:rsid w:val="0007158D"/>
    <w:rsid w:val="00071B3F"/>
    <w:rsid w:val="00071C2E"/>
    <w:rsid w:val="000722D2"/>
    <w:rsid w:val="000728C5"/>
    <w:rsid w:val="00073499"/>
    <w:rsid w:val="000736A2"/>
    <w:rsid w:val="00073A81"/>
    <w:rsid w:val="00075086"/>
    <w:rsid w:val="00075173"/>
    <w:rsid w:val="00080EF2"/>
    <w:rsid w:val="00081FCD"/>
    <w:rsid w:val="00082493"/>
    <w:rsid w:val="0008258F"/>
    <w:rsid w:val="00082FFA"/>
    <w:rsid w:val="0008315F"/>
    <w:rsid w:val="000848C5"/>
    <w:rsid w:val="00086477"/>
    <w:rsid w:val="00086C69"/>
    <w:rsid w:val="0009041F"/>
    <w:rsid w:val="0009083C"/>
    <w:rsid w:val="00091164"/>
    <w:rsid w:val="00094BDF"/>
    <w:rsid w:val="00096115"/>
    <w:rsid w:val="000966C9"/>
    <w:rsid w:val="00096709"/>
    <w:rsid w:val="0009673D"/>
    <w:rsid w:val="00096DF7"/>
    <w:rsid w:val="000A209D"/>
    <w:rsid w:val="000A34B0"/>
    <w:rsid w:val="000A4B20"/>
    <w:rsid w:val="000A4D30"/>
    <w:rsid w:val="000A4FC4"/>
    <w:rsid w:val="000A4FFD"/>
    <w:rsid w:val="000A509F"/>
    <w:rsid w:val="000A5EC8"/>
    <w:rsid w:val="000A7529"/>
    <w:rsid w:val="000B0352"/>
    <w:rsid w:val="000B0D49"/>
    <w:rsid w:val="000B0E40"/>
    <w:rsid w:val="000B1AF9"/>
    <w:rsid w:val="000B1F8B"/>
    <w:rsid w:val="000B61B7"/>
    <w:rsid w:val="000B78EF"/>
    <w:rsid w:val="000B7906"/>
    <w:rsid w:val="000C07C1"/>
    <w:rsid w:val="000C183E"/>
    <w:rsid w:val="000C3E19"/>
    <w:rsid w:val="000C6CCA"/>
    <w:rsid w:val="000D19A1"/>
    <w:rsid w:val="000D2F6A"/>
    <w:rsid w:val="000D3DD4"/>
    <w:rsid w:val="000D4435"/>
    <w:rsid w:val="000D48F1"/>
    <w:rsid w:val="000D5270"/>
    <w:rsid w:val="000D770B"/>
    <w:rsid w:val="000D788E"/>
    <w:rsid w:val="000E0D7F"/>
    <w:rsid w:val="000E1593"/>
    <w:rsid w:val="000E2913"/>
    <w:rsid w:val="000E29CB"/>
    <w:rsid w:val="000E5634"/>
    <w:rsid w:val="000E61C1"/>
    <w:rsid w:val="000E647C"/>
    <w:rsid w:val="000E760F"/>
    <w:rsid w:val="000E775D"/>
    <w:rsid w:val="000F0942"/>
    <w:rsid w:val="000F0E5A"/>
    <w:rsid w:val="000F0FEB"/>
    <w:rsid w:val="000F2B53"/>
    <w:rsid w:val="000F496F"/>
    <w:rsid w:val="000F49BF"/>
    <w:rsid w:val="000F4C06"/>
    <w:rsid w:val="000F7CB1"/>
    <w:rsid w:val="0010026C"/>
    <w:rsid w:val="0010125A"/>
    <w:rsid w:val="00102A2D"/>
    <w:rsid w:val="00103ED2"/>
    <w:rsid w:val="00105219"/>
    <w:rsid w:val="00105C03"/>
    <w:rsid w:val="001067E2"/>
    <w:rsid w:val="00106878"/>
    <w:rsid w:val="00106C58"/>
    <w:rsid w:val="0011051D"/>
    <w:rsid w:val="001106F2"/>
    <w:rsid w:val="00110770"/>
    <w:rsid w:val="0011221E"/>
    <w:rsid w:val="00113ABB"/>
    <w:rsid w:val="0011488A"/>
    <w:rsid w:val="00115A5C"/>
    <w:rsid w:val="001165B5"/>
    <w:rsid w:val="0011665D"/>
    <w:rsid w:val="001200AB"/>
    <w:rsid w:val="001211E1"/>
    <w:rsid w:val="00121900"/>
    <w:rsid w:val="001220D8"/>
    <w:rsid w:val="00123203"/>
    <w:rsid w:val="00124101"/>
    <w:rsid w:val="00126290"/>
    <w:rsid w:val="00126572"/>
    <w:rsid w:val="00127C7C"/>
    <w:rsid w:val="001303F8"/>
    <w:rsid w:val="001333D0"/>
    <w:rsid w:val="0013427B"/>
    <w:rsid w:val="001348B0"/>
    <w:rsid w:val="00134B19"/>
    <w:rsid w:val="0013698A"/>
    <w:rsid w:val="00140648"/>
    <w:rsid w:val="00142E61"/>
    <w:rsid w:val="00143713"/>
    <w:rsid w:val="001452C2"/>
    <w:rsid w:val="0014692A"/>
    <w:rsid w:val="0014739B"/>
    <w:rsid w:val="00147D5C"/>
    <w:rsid w:val="001522CC"/>
    <w:rsid w:val="0015273D"/>
    <w:rsid w:val="001547A0"/>
    <w:rsid w:val="00156918"/>
    <w:rsid w:val="0015734B"/>
    <w:rsid w:val="00157636"/>
    <w:rsid w:val="00157F10"/>
    <w:rsid w:val="00160416"/>
    <w:rsid w:val="00160F0F"/>
    <w:rsid w:val="0016326D"/>
    <w:rsid w:val="00163603"/>
    <w:rsid w:val="00164972"/>
    <w:rsid w:val="00164D00"/>
    <w:rsid w:val="00165A5F"/>
    <w:rsid w:val="00165AA2"/>
    <w:rsid w:val="00165C32"/>
    <w:rsid w:val="00165D0B"/>
    <w:rsid w:val="00166C59"/>
    <w:rsid w:val="00166DB4"/>
    <w:rsid w:val="00167E0C"/>
    <w:rsid w:val="00171B45"/>
    <w:rsid w:val="001736C6"/>
    <w:rsid w:val="00173A2A"/>
    <w:rsid w:val="001755D7"/>
    <w:rsid w:val="0017669B"/>
    <w:rsid w:val="00180799"/>
    <w:rsid w:val="00180AFD"/>
    <w:rsid w:val="001810B1"/>
    <w:rsid w:val="001818F2"/>
    <w:rsid w:val="00185827"/>
    <w:rsid w:val="00186133"/>
    <w:rsid w:val="00186D80"/>
    <w:rsid w:val="001877E1"/>
    <w:rsid w:val="00187AC8"/>
    <w:rsid w:val="001903E3"/>
    <w:rsid w:val="0019140A"/>
    <w:rsid w:val="001952B8"/>
    <w:rsid w:val="001A0D4F"/>
    <w:rsid w:val="001A0DA0"/>
    <w:rsid w:val="001A1E9C"/>
    <w:rsid w:val="001A3754"/>
    <w:rsid w:val="001A3A07"/>
    <w:rsid w:val="001A4AD5"/>
    <w:rsid w:val="001A5196"/>
    <w:rsid w:val="001A6DDA"/>
    <w:rsid w:val="001B10DE"/>
    <w:rsid w:val="001B20CF"/>
    <w:rsid w:val="001B2846"/>
    <w:rsid w:val="001B35ED"/>
    <w:rsid w:val="001B419C"/>
    <w:rsid w:val="001B4255"/>
    <w:rsid w:val="001B5676"/>
    <w:rsid w:val="001B7B66"/>
    <w:rsid w:val="001C0D29"/>
    <w:rsid w:val="001C225A"/>
    <w:rsid w:val="001C263D"/>
    <w:rsid w:val="001C3608"/>
    <w:rsid w:val="001C3A85"/>
    <w:rsid w:val="001C3C53"/>
    <w:rsid w:val="001C4E2F"/>
    <w:rsid w:val="001C72AC"/>
    <w:rsid w:val="001D08A8"/>
    <w:rsid w:val="001D204F"/>
    <w:rsid w:val="001D30E0"/>
    <w:rsid w:val="001D32F2"/>
    <w:rsid w:val="001D3B63"/>
    <w:rsid w:val="001D6545"/>
    <w:rsid w:val="001D7BBD"/>
    <w:rsid w:val="001D7DE3"/>
    <w:rsid w:val="001E04AC"/>
    <w:rsid w:val="001E0C20"/>
    <w:rsid w:val="001E0C7E"/>
    <w:rsid w:val="001E1090"/>
    <w:rsid w:val="001E1632"/>
    <w:rsid w:val="001E23F6"/>
    <w:rsid w:val="001E4903"/>
    <w:rsid w:val="001E705E"/>
    <w:rsid w:val="001F01A7"/>
    <w:rsid w:val="001F194D"/>
    <w:rsid w:val="001F297E"/>
    <w:rsid w:val="001F409D"/>
    <w:rsid w:val="001F40C1"/>
    <w:rsid w:val="001F423E"/>
    <w:rsid w:val="001F44DC"/>
    <w:rsid w:val="001F4B3D"/>
    <w:rsid w:val="001F4DF2"/>
    <w:rsid w:val="001F540E"/>
    <w:rsid w:val="001F66EB"/>
    <w:rsid w:val="001F7144"/>
    <w:rsid w:val="0020028F"/>
    <w:rsid w:val="002045BA"/>
    <w:rsid w:val="002049EE"/>
    <w:rsid w:val="00204A4C"/>
    <w:rsid w:val="00205832"/>
    <w:rsid w:val="00205868"/>
    <w:rsid w:val="00206504"/>
    <w:rsid w:val="002068E4"/>
    <w:rsid w:val="0020717D"/>
    <w:rsid w:val="0020719E"/>
    <w:rsid w:val="00207201"/>
    <w:rsid w:val="002100C6"/>
    <w:rsid w:val="00211199"/>
    <w:rsid w:val="002117C2"/>
    <w:rsid w:val="002118CD"/>
    <w:rsid w:val="00212A72"/>
    <w:rsid w:val="002135AB"/>
    <w:rsid w:val="002154F1"/>
    <w:rsid w:val="0022217C"/>
    <w:rsid w:val="00222AF8"/>
    <w:rsid w:val="00222DCE"/>
    <w:rsid w:val="002231FC"/>
    <w:rsid w:val="00223B3A"/>
    <w:rsid w:val="0022421C"/>
    <w:rsid w:val="00226871"/>
    <w:rsid w:val="002273B5"/>
    <w:rsid w:val="00227F97"/>
    <w:rsid w:val="00230185"/>
    <w:rsid w:val="00231592"/>
    <w:rsid w:val="00233829"/>
    <w:rsid w:val="0023519B"/>
    <w:rsid w:val="002351E1"/>
    <w:rsid w:val="0023608C"/>
    <w:rsid w:val="00237180"/>
    <w:rsid w:val="0024059F"/>
    <w:rsid w:val="00240BFA"/>
    <w:rsid w:val="00241FB1"/>
    <w:rsid w:val="002435EC"/>
    <w:rsid w:val="00243CB5"/>
    <w:rsid w:val="00246D39"/>
    <w:rsid w:val="002505FE"/>
    <w:rsid w:val="00251324"/>
    <w:rsid w:val="002526EB"/>
    <w:rsid w:val="00253CD5"/>
    <w:rsid w:val="002546A9"/>
    <w:rsid w:val="00254F3B"/>
    <w:rsid w:val="00255A86"/>
    <w:rsid w:val="00255CF5"/>
    <w:rsid w:val="0025644B"/>
    <w:rsid w:val="00260711"/>
    <w:rsid w:val="0026199B"/>
    <w:rsid w:val="002636CB"/>
    <w:rsid w:val="0026372E"/>
    <w:rsid w:val="00264198"/>
    <w:rsid w:val="002644D3"/>
    <w:rsid w:val="00264517"/>
    <w:rsid w:val="00264AAA"/>
    <w:rsid w:val="00266400"/>
    <w:rsid w:val="0026681C"/>
    <w:rsid w:val="00266B7D"/>
    <w:rsid w:val="00267A81"/>
    <w:rsid w:val="00267F8E"/>
    <w:rsid w:val="00270525"/>
    <w:rsid w:val="00270861"/>
    <w:rsid w:val="00270AF6"/>
    <w:rsid w:val="00271A87"/>
    <w:rsid w:val="00273594"/>
    <w:rsid w:val="00273CAE"/>
    <w:rsid w:val="00275961"/>
    <w:rsid w:val="00276705"/>
    <w:rsid w:val="00277209"/>
    <w:rsid w:val="0027733A"/>
    <w:rsid w:val="00277A16"/>
    <w:rsid w:val="00277A6A"/>
    <w:rsid w:val="00277F91"/>
    <w:rsid w:val="00280608"/>
    <w:rsid w:val="0028070F"/>
    <w:rsid w:val="002822F9"/>
    <w:rsid w:val="002837F6"/>
    <w:rsid w:val="00283AA2"/>
    <w:rsid w:val="00283B4E"/>
    <w:rsid w:val="0028427D"/>
    <w:rsid w:val="002844F2"/>
    <w:rsid w:val="002850B0"/>
    <w:rsid w:val="002874BA"/>
    <w:rsid w:val="00287767"/>
    <w:rsid w:val="00287E1D"/>
    <w:rsid w:val="0029050A"/>
    <w:rsid w:val="002917DF"/>
    <w:rsid w:val="00295268"/>
    <w:rsid w:val="002956B3"/>
    <w:rsid w:val="002956C1"/>
    <w:rsid w:val="002957DB"/>
    <w:rsid w:val="00295889"/>
    <w:rsid w:val="00295963"/>
    <w:rsid w:val="00295A87"/>
    <w:rsid w:val="00295CDD"/>
    <w:rsid w:val="00296080"/>
    <w:rsid w:val="00296896"/>
    <w:rsid w:val="00296D69"/>
    <w:rsid w:val="00296E00"/>
    <w:rsid w:val="002977EF"/>
    <w:rsid w:val="00297E5E"/>
    <w:rsid w:val="002A1932"/>
    <w:rsid w:val="002A2B5A"/>
    <w:rsid w:val="002A2FF9"/>
    <w:rsid w:val="002A505C"/>
    <w:rsid w:val="002A5B2D"/>
    <w:rsid w:val="002A6D99"/>
    <w:rsid w:val="002B0075"/>
    <w:rsid w:val="002B1B27"/>
    <w:rsid w:val="002B2ABA"/>
    <w:rsid w:val="002B2DFF"/>
    <w:rsid w:val="002B5368"/>
    <w:rsid w:val="002B5BD2"/>
    <w:rsid w:val="002B6908"/>
    <w:rsid w:val="002B7343"/>
    <w:rsid w:val="002C013E"/>
    <w:rsid w:val="002C096C"/>
    <w:rsid w:val="002C0BC3"/>
    <w:rsid w:val="002C21CC"/>
    <w:rsid w:val="002C2894"/>
    <w:rsid w:val="002C2C4E"/>
    <w:rsid w:val="002C3923"/>
    <w:rsid w:val="002C51FD"/>
    <w:rsid w:val="002C5402"/>
    <w:rsid w:val="002C5DDC"/>
    <w:rsid w:val="002C7313"/>
    <w:rsid w:val="002D0C5A"/>
    <w:rsid w:val="002D1254"/>
    <w:rsid w:val="002D188E"/>
    <w:rsid w:val="002D18CB"/>
    <w:rsid w:val="002D1EB8"/>
    <w:rsid w:val="002D1F07"/>
    <w:rsid w:val="002D1F38"/>
    <w:rsid w:val="002D2C78"/>
    <w:rsid w:val="002D54CE"/>
    <w:rsid w:val="002D5717"/>
    <w:rsid w:val="002D7C7F"/>
    <w:rsid w:val="002E088E"/>
    <w:rsid w:val="002E315E"/>
    <w:rsid w:val="002E3C1A"/>
    <w:rsid w:val="002E451F"/>
    <w:rsid w:val="002E4A1E"/>
    <w:rsid w:val="002E5478"/>
    <w:rsid w:val="002E59FF"/>
    <w:rsid w:val="002E5C5C"/>
    <w:rsid w:val="002E5F87"/>
    <w:rsid w:val="002E6B8C"/>
    <w:rsid w:val="002E74B9"/>
    <w:rsid w:val="002E7ECC"/>
    <w:rsid w:val="002E7FCA"/>
    <w:rsid w:val="002F0085"/>
    <w:rsid w:val="002F0A30"/>
    <w:rsid w:val="002F0F0A"/>
    <w:rsid w:val="002F2177"/>
    <w:rsid w:val="002F21D3"/>
    <w:rsid w:val="002F348C"/>
    <w:rsid w:val="002F37E8"/>
    <w:rsid w:val="002F43F7"/>
    <w:rsid w:val="002F4C1B"/>
    <w:rsid w:val="003010D7"/>
    <w:rsid w:val="003012A4"/>
    <w:rsid w:val="00302476"/>
    <w:rsid w:val="003027E3"/>
    <w:rsid w:val="00303049"/>
    <w:rsid w:val="00304FD4"/>
    <w:rsid w:val="00305036"/>
    <w:rsid w:val="0030509D"/>
    <w:rsid w:val="00306348"/>
    <w:rsid w:val="003064DF"/>
    <w:rsid w:val="00306C34"/>
    <w:rsid w:val="00307850"/>
    <w:rsid w:val="003106F7"/>
    <w:rsid w:val="003108FE"/>
    <w:rsid w:val="00311545"/>
    <w:rsid w:val="00311A38"/>
    <w:rsid w:val="00311B67"/>
    <w:rsid w:val="00311F9F"/>
    <w:rsid w:val="00315BFB"/>
    <w:rsid w:val="0031665A"/>
    <w:rsid w:val="00316C1F"/>
    <w:rsid w:val="00316D22"/>
    <w:rsid w:val="003179AC"/>
    <w:rsid w:val="0032109A"/>
    <w:rsid w:val="00323294"/>
    <w:rsid w:val="00323CC5"/>
    <w:rsid w:val="00324A94"/>
    <w:rsid w:val="003272CA"/>
    <w:rsid w:val="00330C88"/>
    <w:rsid w:val="0033161A"/>
    <w:rsid w:val="00331AA9"/>
    <w:rsid w:val="00332158"/>
    <w:rsid w:val="0033240E"/>
    <w:rsid w:val="00332499"/>
    <w:rsid w:val="003364A8"/>
    <w:rsid w:val="0034050D"/>
    <w:rsid w:val="00340556"/>
    <w:rsid w:val="00340DE3"/>
    <w:rsid w:val="003428AF"/>
    <w:rsid w:val="0034299A"/>
    <w:rsid w:val="00345E87"/>
    <w:rsid w:val="00345EFA"/>
    <w:rsid w:val="00347720"/>
    <w:rsid w:val="003478D8"/>
    <w:rsid w:val="003501CA"/>
    <w:rsid w:val="00350D7F"/>
    <w:rsid w:val="0035219A"/>
    <w:rsid w:val="003522FF"/>
    <w:rsid w:val="0035238E"/>
    <w:rsid w:val="003526B1"/>
    <w:rsid w:val="00352F4D"/>
    <w:rsid w:val="003532DA"/>
    <w:rsid w:val="00354B11"/>
    <w:rsid w:val="003560F5"/>
    <w:rsid w:val="003600CC"/>
    <w:rsid w:val="0036212A"/>
    <w:rsid w:val="00363CF7"/>
    <w:rsid w:val="00363DB3"/>
    <w:rsid w:val="00365FC7"/>
    <w:rsid w:val="00366C49"/>
    <w:rsid w:val="003674FE"/>
    <w:rsid w:val="0037112D"/>
    <w:rsid w:val="0037154C"/>
    <w:rsid w:val="00372656"/>
    <w:rsid w:val="003746A5"/>
    <w:rsid w:val="00374ADD"/>
    <w:rsid w:val="00375057"/>
    <w:rsid w:val="0037509D"/>
    <w:rsid w:val="0037555D"/>
    <w:rsid w:val="003777E1"/>
    <w:rsid w:val="003803CA"/>
    <w:rsid w:val="00383192"/>
    <w:rsid w:val="0038392D"/>
    <w:rsid w:val="00384952"/>
    <w:rsid w:val="00387AF6"/>
    <w:rsid w:val="00390270"/>
    <w:rsid w:val="00390443"/>
    <w:rsid w:val="00392123"/>
    <w:rsid w:val="003944FA"/>
    <w:rsid w:val="00395671"/>
    <w:rsid w:val="00395E44"/>
    <w:rsid w:val="0039646C"/>
    <w:rsid w:val="003A00FF"/>
    <w:rsid w:val="003A1F32"/>
    <w:rsid w:val="003A25A7"/>
    <w:rsid w:val="003A7053"/>
    <w:rsid w:val="003B099E"/>
    <w:rsid w:val="003B35FD"/>
    <w:rsid w:val="003B555C"/>
    <w:rsid w:val="003B57BE"/>
    <w:rsid w:val="003B5CC5"/>
    <w:rsid w:val="003B61C7"/>
    <w:rsid w:val="003B625E"/>
    <w:rsid w:val="003B6D38"/>
    <w:rsid w:val="003B7B6A"/>
    <w:rsid w:val="003B7FBF"/>
    <w:rsid w:val="003C09E4"/>
    <w:rsid w:val="003C3386"/>
    <w:rsid w:val="003D01DF"/>
    <w:rsid w:val="003D1C14"/>
    <w:rsid w:val="003D2C78"/>
    <w:rsid w:val="003D3EB2"/>
    <w:rsid w:val="003D4506"/>
    <w:rsid w:val="003D4846"/>
    <w:rsid w:val="003D4F5E"/>
    <w:rsid w:val="003D6126"/>
    <w:rsid w:val="003D6502"/>
    <w:rsid w:val="003D6F62"/>
    <w:rsid w:val="003D7BB7"/>
    <w:rsid w:val="003D7F20"/>
    <w:rsid w:val="003E01A4"/>
    <w:rsid w:val="003E0355"/>
    <w:rsid w:val="003E16FD"/>
    <w:rsid w:val="003E1BDF"/>
    <w:rsid w:val="003E2334"/>
    <w:rsid w:val="003E3380"/>
    <w:rsid w:val="003E37F3"/>
    <w:rsid w:val="003E3BB6"/>
    <w:rsid w:val="003E587C"/>
    <w:rsid w:val="003E67D9"/>
    <w:rsid w:val="003F08D3"/>
    <w:rsid w:val="003F240B"/>
    <w:rsid w:val="003F25AD"/>
    <w:rsid w:val="003F25C2"/>
    <w:rsid w:val="003F26F2"/>
    <w:rsid w:val="003F2995"/>
    <w:rsid w:val="003F2F8C"/>
    <w:rsid w:val="003F3772"/>
    <w:rsid w:val="003F4AA8"/>
    <w:rsid w:val="003F5A6F"/>
    <w:rsid w:val="003F5E9C"/>
    <w:rsid w:val="003F5EF9"/>
    <w:rsid w:val="003F6F1D"/>
    <w:rsid w:val="003F71D3"/>
    <w:rsid w:val="003F7A43"/>
    <w:rsid w:val="003F7D9C"/>
    <w:rsid w:val="00400046"/>
    <w:rsid w:val="00400353"/>
    <w:rsid w:val="004024B9"/>
    <w:rsid w:val="00403BE3"/>
    <w:rsid w:val="00404895"/>
    <w:rsid w:val="004049E5"/>
    <w:rsid w:val="00407EE0"/>
    <w:rsid w:val="00410EF4"/>
    <w:rsid w:val="00413172"/>
    <w:rsid w:val="004152E9"/>
    <w:rsid w:val="0041550D"/>
    <w:rsid w:val="00415AE7"/>
    <w:rsid w:val="00416381"/>
    <w:rsid w:val="00417C88"/>
    <w:rsid w:val="00417FB1"/>
    <w:rsid w:val="004221D4"/>
    <w:rsid w:val="00422E06"/>
    <w:rsid w:val="0042389F"/>
    <w:rsid w:val="00424C11"/>
    <w:rsid w:val="004264D5"/>
    <w:rsid w:val="004274B0"/>
    <w:rsid w:val="00431ED6"/>
    <w:rsid w:val="00433C41"/>
    <w:rsid w:val="0043523F"/>
    <w:rsid w:val="004362CA"/>
    <w:rsid w:val="0043732E"/>
    <w:rsid w:val="00437624"/>
    <w:rsid w:val="00437DE9"/>
    <w:rsid w:val="00437E84"/>
    <w:rsid w:val="00440178"/>
    <w:rsid w:val="00440988"/>
    <w:rsid w:val="00441649"/>
    <w:rsid w:val="0044165E"/>
    <w:rsid w:val="00441D26"/>
    <w:rsid w:val="00442C1A"/>
    <w:rsid w:val="0044440A"/>
    <w:rsid w:val="00445355"/>
    <w:rsid w:val="00445A64"/>
    <w:rsid w:val="00445D7C"/>
    <w:rsid w:val="00447A61"/>
    <w:rsid w:val="0045015A"/>
    <w:rsid w:val="00450404"/>
    <w:rsid w:val="00450FAC"/>
    <w:rsid w:val="004515CD"/>
    <w:rsid w:val="00451BA7"/>
    <w:rsid w:val="0045218E"/>
    <w:rsid w:val="00454472"/>
    <w:rsid w:val="004557C8"/>
    <w:rsid w:val="00455863"/>
    <w:rsid w:val="004560ED"/>
    <w:rsid w:val="00456CEE"/>
    <w:rsid w:val="00456DDA"/>
    <w:rsid w:val="00456F47"/>
    <w:rsid w:val="004573D3"/>
    <w:rsid w:val="00461ECB"/>
    <w:rsid w:val="0046202B"/>
    <w:rsid w:val="00464777"/>
    <w:rsid w:val="00464E95"/>
    <w:rsid w:val="00465328"/>
    <w:rsid w:val="00466772"/>
    <w:rsid w:val="00466AC3"/>
    <w:rsid w:val="0046706A"/>
    <w:rsid w:val="00470816"/>
    <w:rsid w:val="00471512"/>
    <w:rsid w:val="00471A07"/>
    <w:rsid w:val="00471D13"/>
    <w:rsid w:val="0047332E"/>
    <w:rsid w:val="004734C6"/>
    <w:rsid w:val="00475844"/>
    <w:rsid w:val="00476A9E"/>
    <w:rsid w:val="00476E4C"/>
    <w:rsid w:val="0047747A"/>
    <w:rsid w:val="004806B2"/>
    <w:rsid w:val="00481B05"/>
    <w:rsid w:val="00481CC4"/>
    <w:rsid w:val="0048292E"/>
    <w:rsid w:val="00482DF2"/>
    <w:rsid w:val="00483E50"/>
    <w:rsid w:val="004847EF"/>
    <w:rsid w:val="00484DCA"/>
    <w:rsid w:val="004851EE"/>
    <w:rsid w:val="004913AC"/>
    <w:rsid w:val="00492DE7"/>
    <w:rsid w:val="00494BAD"/>
    <w:rsid w:val="00494D25"/>
    <w:rsid w:val="004968BE"/>
    <w:rsid w:val="00496D15"/>
    <w:rsid w:val="004A0231"/>
    <w:rsid w:val="004A1BA4"/>
    <w:rsid w:val="004A3F70"/>
    <w:rsid w:val="004A49F0"/>
    <w:rsid w:val="004A5A0B"/>
    <w:rsid w:val="004B1382"/>
    <w:rsid w:val="004B1618"/>
    <w:rsid w:val="004B4438"/>
    <w:rsid w:val="004B6D65"/>
    <w:rsid w:val="004C178D"/>
    <w:rsid w:val="004C295A"/>
    <w:rsid w:val="004C2E2B"/>
    <w:rsid w:val="004C4583"/>
    <w:rsid w:val="004C4800"/>
    <w:rsid w:val="004C5161"/>
    <w:rsid w:val="004C757A"/>
    <w:rsid w:val="004D0257"/>
    <w:rsid w:val="004D03A3"/>
    <w:rsid w:val="004D0D13"/>
    <w:rsid w:val="004D15BC"/>
    <w:rsid w:val="004D16FB"/>
    <w:rsid w:val="004D243A"/>
    <w:rsid w:val="004D278D"/>
    <w:rsid w:val="004D4E0C"/>
    <w:rsid w:val="004D5683"/>
    <w:rsid w:val="004D5B8A"/>
    <w:rsid w:val="004D5CF2"/>
    <w:rsid w:val="004E1C81"/>
    <w:rsid w:val="004E4706"/>
    <w:rsid w:val="004E5958"/>
    <w:rsid w:val="004E66D4"/>
    <w:rsid w:val="004E7AA7"/>
    <w:rsid w:val="004F00ED"/>
    <w:rsid w:val="004F067C"/>
    <w:rsid w:val="004F2AF0"/>
    <w:rsid w:val="004F305C"/>
    <w:rsid w:val="004F5289"/>
    <w:rsid w:val="004F610C"/>
    <w:rsid w:val="00501FE7"/>
    <w:rsid w:val="00502429"/>
    <w:rsid w:val="005024C0"/>
    <w:rsid w:val="00505815"/>
    <w:rsid w:val="00506742"/>
    <w:rsid w:val="00507D62"/>
    <w:rsid w:val="0051153F"/>
    <w:rsid w:val="0051273B"/>
    <w:rsid w:val="005148A3"/>
    <w:rsid w:val="00514BD5"/>
    <w:rsid w:val="00515DE2"/>
    <w:rsid w:val="00516358"/>
    <w:rsid w:val="00520438"/>
    <w:rsid w:val="005239B6"/>
    <w:rsid w:val="0052553A"/>
    <w:rsid w:val="00525963"/>
    <w:rsid w:val="00526B74"/>
    <w:rsid w:val="00527973"/>
    <w:rsid w:val="005303B3"/>
    <w:rsid w:val="00530596"/>
    <w:rsid w:val="00530F6F"/>
    <w:rsid w:val="00531080"/>
    <w:rsid w:val="005315D7"/>
    <w:rsid w:val="00531B0A"/>
    <w:rsid w:val="005331E3"/>
    <w:rsid w:val="0053773E"/>
    <w:rsid w:val="00537FE7"/>
    <w:rsid w:val="005400D0"/>
    <w:rsid w:val="00540CE1"/>
    <w:rsid w:val="005428F6"/>
    <w:rsid w:val="005445C1"/>
    <w:rsid w:val="005524FE"/>
    <w:rsid w:val="00553417"/>
    <w:rsid w:val="005541B6"/>
    <w:rsid w:val="005543E3"/>
    <w:rsid w:val="00557A5F"/>
    <w:rsid w:val="00562F0C"/>
    <w:rsid w:val="00564391"/>
    <w:rsid w:val="00564DC8"/>
    <w:rsid w:val="00565117"/>
    <w:rsid w:val="00565D91"/>
    <w:rsid w:val="005666F2"/>
    <w:rsid w:val="00566FCC"/>
    <w:rsid w:val="0056732A"/>
    <w:rsid w:val="0056789D"/>
    <w:rsid w:val="00570DFC"/>
    <w:rsid w:val="00571454"/>
    <w:rsid w:val="005716BE"/>
    <w:rsid w:val="0057395F"/>
    <w:rsid w:val="00573F92"/>
    <w:rsid w:val="005749FA"/>
    <w:rsid w:val="0057536B"/>
    <w:rsid w:val="00575544"/>
    <w:rsid w:val="0057555E"/>
    <w:rsid w:val="00577B71"/>
    <w:rsid w:val="00577D75"/>
    <w:rsid w:val="00580809"/>
    <w:rsid w:val="00580A94"/>
    <w:rsid w:val="00581203"/>
    <w:rsid w:val="00582136"/>
    <w:rsid w:val="00583E26"/>
    <w:rsid w:val="00584EB8"/>
    <w:rsid w:val="00586DC4"/>
    <w:rsid w:val="00587048"/>
    <w:rsid w:val="00592864"/>
    <w:rsid w:val="00592B3A"/>
    <w:rsid w:val="00595361"/>
    <w:rsid w:val="00597ABC"/>
    <w:rsid w:val="00597B89"/>
    <w:rsid w:val="005A0BA5"/>
    <w:rsid w:val="005A0C76"/>
    <w:rsid w:val="005A1A2C"/>
    <w:rsid w:val="005A1AFA"/>
    <w:rsid w:val="005A35DB"/>
    <w:rsid w:val="005A3CF3"/>
    <w:rsid w:val="005A48A3"/>
    <w:rsid w:val="005A517B"/>
    <w:rsid w:val="005A54EF"/>
    <w:rsid w:val="005A6811"/>
    <w:rsid w:val="005A6AD2"/>
    <w:rsid w:val="005A7D25"/>
    <w:rsid w:val="005B01D4"/>
    <w:rsid w:val="005B23E9"/>
    <w:rsid w:val="005B3C47"/>
    <w:rsid w:val="005B3D6E"/>
    <w:rsid w:val="005B573D"/>
    <w:rsid w:val="005B5973"/>
    <w:rsid w:val="005B6922"/>
    <w:rsid w:val="005B6BBE"/>
    <w:rsid w:val="005B7932"/>
    <w:rsid w:val="005B7B2A"/>
    <w:rsid w:val="005B7F2B"/>
    <w:rsid w:val="005C1556"/>
    <w:rsid w:val="005C24A3"/>
    <w:rsid w:val="005C3673"/>
    <w:rsid w:val="005C50CC"/>
    <w:rsid w:val="005C5433"/>
    <w:rsid w:val="005C6A6E"/>
    <w:rsid w:val="005C7A78"/>
    <w:rsid w:val="005D0F3E"/>
    <w:rsid w:val="005D15CB"/>
    <w:rsid w:val="005D1782"/>
    <w:rsid w:val="005D1AC9"/>
    <w:rsid w:val="005D1BCF"/>
    <w:rsid w:val="005D2745"/>
    <w:rsid w:val="005D3D03"/>
    <w:rsid w:val="005D40AB"/>
    <w:rsid w:val="005D67B2"/>
    <w:rsid w:val="005E0653"/>
    <w:rsid w:val="005E1075"/>
    <w:rsid w:val="005E2390"/>
    <w:rsid w:val="005E2426"/>
    <w:rsid w:val="005E388A"/>
    <w:rsid w:val="005E7C84"/>
    <w:rsid w:val="005F06AF"/>
    <w:rsid w:val="005F06EC"/>
    <w:rsid w:val="005F0FE2"/>
    <w:rsid w:val="005F18DC"/>
    <w:rsid w:val="005F2BD8"/>
    <w:rsid w:val="005F31BF"/>
    <w:rsid w:val="005F333A"/>
    <w:rsid w:val="005F4CB6"/>
    <w:rsid w:val="005F4D4E"/>
    <w:rsid w:val="005F512A"/>
    <w:rsid w:val="005F598F"/>
    <w:rsid w:val="005F790C"/>
    <w:rsid w:val="006004B5"/>
    <w:rsid w:val="00600FE4"/>
    <w:rsid w:val="00601202"/>
    <w:rsid w:val="00603E54"/>
    <w:rsid w:val="00603FC2"/>
    <w:rsid w:val="00604B13"/>
    <w:rsid w:val="00605C05"/>
    <w:rsid w:val="00605F11"/>
    <w:rsid w:val="00606D0E"/>
    <w:rsid w:val="00606F68"/>
    <w:rsid w:val="006076C6"/>
    <w:rsid w:val="006076F8"/>
    <w:rsid w:val="00613438"/>
    <w:rsid w:val="006136DF"/>
    <w:rsid w:val="00614156"/>
    <w:rsid w:val="00616453"/>
    <w:rsid w:val="00616692"/>
    <w:rsid w:val="006174A9"/>
    <w:rsid w:val="00617C6A"/>
    <w:rsid w:val="00617CC3"/>
    <w:rsid w:val="00621070"/>
    <w:rsid w:val="00623BD3"/>
    <w:rsid w:val="0062521A"/>
    <w:rsid w:val="006274BC"/>
    <w:rsid w:val="0062776A"/>
    <w:rsid w:val="00630A32"/>
    <w:rsid w:val="00630BCB"/>
    <w:rsid w:val="0063308F"/>
    <w:rsid w:val="00634AFE"/>
    <w:rsid w:val="00636956"/>
    <w:rsid w:val="0063735B"/>
    <w:rsid w:val="006411BC"/>
    <w:rsid w:val="00641299"/>
    <w:rsid w:val="0064133B"/>
    <w:rsid w:val="006430F5"/>
    <w:rsid w:val="00645BB1"/>
    <w:rsid w:val="00646406"/>
    <w:rsid w:val="0064725E"/>
    <w:rsid w:val="00647850"/>
    <w:rsid w:val="006502AA"/>
    <w:rsid w:val="006507D1"/>
    <w:rsid w:val="00653510"/>
    <w:rsid w:val="00653DC3"/>
    <w:rsid w:val="00654B11"/>
    <w:rsid w:val="006561C0"/>
    <w:rsid w:val="00656907"/>
    <w:rsid w:val="00656A0B"/>
    <w:rsid w:val="00660CD9"/>
    <w:rsid w:val="00661A33"/>
    <w:rsid w:val="00661D9B"/>
    <w:rsid w:val="00662080"/>
    <w:rsid w:val="00663F8C"/>
    <w:rsid w:val="00664540"/>
    <w:rsid w:val="006653D4"/>
    <w:rsid w:val="00667038"/>
    <w:rsid w:val="006675A2"/>
    <w:rsid w:val="0067046B"/>
    <w:rsid w:val="006704F5"/>
    <w:rsid w:val="00672A5D"/>
    <w:rsid w:val="0067317D"/>
    <w:rsid w:val="00673E16"/>
    <w:rsid w:val="00673FCF"/>
    <w:rsid w:val="006746A9"/>
    <w:rsid w:val="0067525C"/>
    <w:rsid w:val="00677670"/>
    <w:rsid w:val="00677E10"/>
    <w:rsid w:val="006849C1"/>
    <w:rsid w:val="006849F2"/>
    <w:rsid w:val="00684E5E"/>
    <w:rsid w:val="00686D8E"/>
    <w:rsid w:val="00687C84"/>
    <w:rsid w:val="00690125"/>
    <w:rsid w:val="006904A1"/>
    <w:rsid w:val="00691764"/>
    <w:rsid w:val="00691A7A"/>
    <w:rsid w:val="00692353"/>
    <w:rsid w:val="00692B06"/>
    <w:rsid w:val="00693182"/>
    <w:rsid w:val="00693568"/>
    <w:rsid w:val="00693A19"/>
    <w:rsid w:val="00693FF5"/>
    <w:rsid w:val="006940C8"/>
    <w:rsid w:val="00695468"/>
    <w:rsid w:val="006956FD"/>
    <w:rsid w:val="00695BFD"/>
    <w:rsid w:val="00696209"/>
    <w:rsid w:val="00696301"/>
    <w:rsid w:val="006969F2"/>
    <w:rsid w:val="00696CD8"/>
    <w:rsid w:val="006A1121"/>
    <w:rsid w:val="006A1C4C"/>
    <w:rsid w:val="006A476D"/>
    <w:rsid w:val="006A648B"/>
    <w:rsid w:val="006A73FB"/>
    <w:rsid w:val="006A788E"/>
    <w:rsid w:val="006B1B53"/>
    <w:rsid w:val="006B2D6A"/>
    <w:rsid w:val="006B3927"/>
    <w:rsid w:val="006B3F40"/>
    <w:rsid w:val="006B435D"/>
    <w:rsid w:val="006B67B4"/>
    <w:rsid w:val="006B70B4"/>
    <w:rsid w:val="006B75A2"/>
    <w:rsid w:val="006C34E0"/>
    <w:rsid w:val="006C4DB8"/>
    <w:rsid w:val="006C5B81"/>
    <w:rsid w:val="006C6EAD"/>
    <w:rsid w:val="006C7587"/>
    <w:rsid w:val="006C76EE"/>
    <w:rsid w:val="006D2930"/>
    <w:rsid w:val="006D2A41"/>
    <w:rsid w:val="006D3423"/>
    <w:rsid w:val="006D35BE"/>
    <w:rsid w:val="006D42BB"/>
    <w:rsid w:val="006D5202"/>
    <w:rsid w:val="006D595C"/>
    <w:rsid w:val="006D7433"/>
    <w:rsid w:val="006D7914"/>
    <w:rsid w:val="006D7D1D"/>
    <w:rsid w:val="006E0A18"/>
    <w:rsid w:val="006E0B98"/>
    <w:rsid w:val="006E0E04"/>
    <w:rsid w:val="006E0ED6"/>
    <w:rsid w:val="006E25F6"/>
    <w:rsid w:val="006E3402"/>
    <w:rsid w:val="006E36DE"/>
    <w:rsid w:val="006E5897"/>
    <w:rsid w:val="006E5DDB"/>
    <w:rsid w:val="006E6F2C"/>
    <w:rsid w:val="006E79B8"/>
    <w:rsid w:val="006E7C99"/>
    <w:rsid w:val="006F1200"/>
    <w:rsid w:val="006F2E98"/>
    <w:rsid w:val="006F4221"/>
    <w:rsid w:val="006F4EC2"/>
    <w:rsid w:val="006F4ED1"/>
    <w:rsid w:val="007016A5"/>
    <w:rsid w:val="00702696"/>
    <w:rsid w:val="0070280B"/>
    <w:rsid w:val="00703F18"/>
    <w:rsid w:val="007053A9"/>
    <w:rsid w:val="00705B8D"/>
    <w:rsid w:val="00710677"/>
    <w:rsid w:val="00713452"/>
    <w:rsid w:val="00713E01"/>
    <w:rsid w:val="00714890"/>
    <w:rsid w:val="00714F3D"/>
    <w:rsid w:val="00720729"/>
    <w:rsid w:val="00721CC0"/>
    <w:rsid w:val="00722ABE"/>
    <w:rsid w:val="00724BD7"/>
    <w:rsid w:val="007250D6"/>
    <w:rsid w:val="00725C51"/>
    <w:rsid w:val="007326BC"/>
    <w:rsid w:val="007330BB"/>
    <w:rsid w:val="00734831"/>
    <w:rsid w:val="00735888"/>
    <w:rsid w:val="00736E36"/>
    <w:rsid w:val="00740053"/>
    <w:rsid w:val="007416B3"/>
    <w:rsid w:val="007421C6"/>
    <w:rsid w:val="00742A48"/>
    <w:rsid w:val="0074365D"/>
    <w:rsid w:val="0074380E"/>
    <w:rsid w:val="0074584F"/>
    <w:rsid w:val="00747652"/>
    <w:rsid w:val="00747CAC"/>
    <w:rsid w:val="00747DB9"/>
    <w:rsid w:val="00750C22"/>
    <w:rsid w:val="00750C53"/>
    <w:rsid w:val="00751DBB"/>
    <w:rsid w:val="00751F4A"/>
    <w:rsid w:val="00754674"/>
    <w:rsid w:val="007560CC"/>
    <w:rsid w:val="007564DC"/>
    <w:rsid w:val="00756A28"/>
    <w:rsid w:val="00760926"/>
    <w:rsid w:val="00762A63"/>
    <w:rsid w:val="00763758"/>
    <w:rsid w:val="00764D6E"/>
    <w:rsid w:val="0076642B"/>
    <w:rsid w:val="00767018"/>
    <w:rsid w:val="007674A6"/>
    <w:rsid w:val="00767807"/>
    <w:rsid w:val="007679D7"/>
    <w:rsid w:val="00767D1B"/>
    <w:rsid w:val="00771E28"/>
    <w:rsid w:val="0077284D"/>
    <w:rsid w:val="007730E3"/>
    <w:rsid w:val="00774937"/>
    <w:rsid w:val="00774E40"/>
    <w:rsid w:val="0077650E"/>
    <w:rsid w:val="00776833"/>
    <w:rsid w:val="00776ACA"/>
    <w:rsid w:val="00777486"/>
    <w:rsid w:val="00777952"/>
    <w:rsid w:val="00777A8A"/>
    <w:rsid w:val="0078042F"/>
    <w:rsid w:val="007808C6"/>
    <w:rsid w:val="007809C7"/>
    <w:rsid w:val="00780F82"/>
    <w:rsid w:val="007816A9"/>
    <w:rsid w:val="00785B57"/>
    <w:rsid w:val="00787F8C"/>
    <w:rsid w:val="007909A4"/>
    <w:rsid w:val="00790C35"/>
    <w:rsid w:val="00791A7D"/>
    <w:rsid w:val="0079297B"/>
    <w:rsid w:val="00793F99"/>
    <w:rsid w:val="00794007"/>
    <w:rsid w:val="00794110"/>
    <w:rsid w:val="00795DAD"/>
    <w:rsid w:val="00797889"/>
    <w:rsid w:val="007A00AA"/>
    <w:rsid w:val="007A124E"/>
    <w:rsid w:val="007A1D44"/>
    <w:rsid w:val="007A2255"/>
    <w:rsid w:val="007A6176"/>
    <w:rsid w:val="007A6531"/>
    <w:rsid w:val="007A7095"/>
    <w:rsid w:val="007B094E"/>
    <w:rsid w:val="007B1EBA"/>
    <w:rsid w:val="007B249D"/>
    <w:rsid w:val="007B4EFD"/>
    <w:rsid w:val="007B510D"/>
    <w:rsid w:val="007B5ADF"/>
    <w:rsid w:val="007B5C9B"/>
    <w:rsid w:val="007B6160"/>
    <w:rsid w:val="007B66D8"/>
    <w:rsid w:val="007B7E99"/>
    <w:rsid w:val="007B7FA0"/>
    <w:rsid w:val="007C15E7"/>
    <w:rsid w:val="007C2ED7"/>
    <w:rsid w:val="007C3AF5"/>
    <w:rsid w:val="007C40FE"/>
    <w:rsid w:val="007C4F9C"/>
    <w:rsid w:val="007C6DED"/>
    <w:rsid w:val="007C7A1F"/>
    <w:rsid w:val="007D0FE0"/>
    <w:rsid w:val="007D1BC6"/>
    <w:rsid w:val="007D3C2E"/>
    <w:rsid w:val="007D41FA"/>
    <w:rsid w:val="007E04E4"/>
    <w:rsid w:val="007E0B58"/>
    <w:rsid w:val="007E2407"/>
    <w:rsid w:val="007E2736"/>
    <w:rsid w:val="007E2E82"/>
    <w:rsid w:val="007E300C"/>
    <w:rsid w:val="007E3A61"/>
    <w:rsid w:val="007E4714"/>
    <w:rsid w:val="007E49AC"/>
    <w:rsid w:val="007E4C60"/>
    <w:rsid w:val="007E56CE"/>
    <w:rsid w:val="007E597A"/>
    <w:rsid w:val="007E5D05"/>
    <w:rsid w:val="007E6C69"/>
    <w:rsid w:val="007F06AC"/>
    <w:rsid w:val="007F0DAB"/>
    <w:rsid w:val="007F0E79"/>
    <w:rsid w:val="007F1BD2"/>
    <w:rsid w:val="007F1EBE"/>
    <w:rsid w:val="007F335E"/>
    <w:rsid w:val="007F3722"/>
    <w:rsid w:val="007F3A9F"/>
    <w:rsid w:val="007F3DE1"/>
    <w:rsid w:val="007F7083"/>
    <w:rsid w:val="00801694"/>
    <w:rsid w:val="00803781"/>
    <w:rsid w:val="00804962"/>
    <w:rsid w:val="00810DBE"/>
    <w:rsid w:val="00810E78"/>
    <w:rsid w:val="008116B0"/>
    <w:rsid w:val="008128D3"/>
    <w:rsid w:val="00813CE8"/>
    <w:rsid w:val="00813EEF"/>
    <w:rsid w:val="00814FF7"/>
    <w:rsid w:val="00815367"/>
    <w:rsid w:val="00815773"/>
    <w:rsid w:val="00820F9D"/>
    <w:rsid w:val="008222D2"/>
    <w:rsid w:val="00822D51"/>
    <w:rsid w:val="00824C23"/>
    <w:rsid w:val="00826779"/>
    <w:rsid w:val="0083075E"/>
    <w:rsid w:val="0083081A"/>
    <w:rsid w:val="00832979"/>
    <w:rsid w:val="00832A8C"/>
    <w:rsid w:val="00833553"/>
    <w:rsid w:val="008345BC"/>
    <w:rsid w:val="00834E08"/>
    <w:rsid w:val="00837D36"/>
    <w:rsid w:val="00837E01"/>
    <w:rsid w:val="008431FD"/>
    <w:rsid w:val="0084542A"/>
    <w:rsid w:val="0084581A"/>
    <w:rsid w:val="00845EF7"/>
    <w:rsid w:val="00846774"/>
    <w:rsid w:val="008507C0"/>
    <w:rsid w:val="00850EBE"/>
    <w:rsid w:val="0085128B"/>
    <w:rsid w:val="0085147D"/>
    <w:rsid w:val="008527C0"/>
    <w:rsid w:val="0085498E"/>
    <w:rsid w:val="00855717"/>
    <w:rsid w:val="00856EE0"/>
    <w:rsid w:val="00861685"/>
    <w:rsid w:val="00863191"/>
    <w:rsid w:val="0086380F"/>
    <w:rsid w:val="00863991"/>
    <w:rsid w:val="0086405D"/>
    <w:rsid w:val="00865D18"/>
    <w:rsid w:val="00866DD7"/>
    <w:rsid w:val="0086723A"/>
    <w:rsid w:val="008711C6"/>
    <w:rsid w:val="00872BEB"/>
    <w:rsid w:val="00873782"/>
    <w:rsid w:val="00873887"/>
    <w:rsid w:val="00873BCA"/>
    <w:rsid w:val="008745A7"/>
    <w:rsid w:val="008749FE"/>
    <w:rsid w:val="00874FA1"/>
    <w:rsid w:val="00875FEB"/>
    <w:rsid w:val="00880A9A"/>
    <w:rsid w:val="008812E1"/>
    <w:rsid w:val="00886D90"/>
    <w:rsid w:val="0088714C"/>
    <w:rsid w:val="008879F9"/>
    <w:rsid w:val="008917E8"/>
    <w:rsid w:val="00891BBD"/>
    <w:rsid w:val="0089205B"/>
    <w:rsid w:val="00893558"/>
    <w:rsid w:val="008936B1"/>
    <w:rsid w:val="00893ABF"/>
    <w:rsid w:val="00894B6D"/>
    <w:rsid w:val="00896A76"/>
    <w:rsid w:val="00896C44"/>
    <w:rsid w:val="00896D90"/>
    <w:rsid w:val="00897404"/>
    <w:rsid w:val="008976DB"/>
    <w:rsid w:val="00897C16"/>
    <w:rsid w:val="008A0479"/>
    <w:rsid w:val="008A118C"/>
    <w:rsid w:val="008A1FD1"/>
    <w:rsid w:val="008A266D"/>
    <w:rsid w:val="008A27F3"/>
    <w:rsid w:val="008A47FD"/>
    <w:rsid w:val="008A4BDB"/>
    <w:rsid w:val="008A6DC0"/>
    <w:rsid w:val="008A742F"/>
    <w:rsid w:val="008A7D97"/>
    <w:rsid w:val="008A7D9F"/>
    <w:rsid w:val="008B13BD"/>
    <w:rsid w:val="008B5233"/>
    <w:rsid w:val="008B6273"/>
    <w:rsid w:val="008B678C"/>
    <w:rsid w:val="008B7A03"/>
    <w:rsid w:val="008B7EBC"/>
    <w:rsid w:val="008C0818"/>
    <w:rsid w:val="008C1C01"/>
    <w:rsid w:val="008C1FC2"/>
    <w:rsid w:val="008C20C0"/>
    <w:rsid w:val="008D086A"/>
    <w:rsid w:val="008D0B66"/>
    <w:rsid w:val="008D227B"/>
    <w:rsid w:val="008D2358"/>
    <w:rsid w:val="008D2865"/>
    <w:rsid w:val="008D5E2E"/>
    <w:rsid w:val="008D5FA3"/>
    <w:rsid w:val="008D79BC"/>
    <w:rsid w:val="008D7BFB"/>
    <w:rsid w:val="008E06DD"/>
    <w:rsid w:val="008E0861"/>
    <w:rsid w:val="008E0AB7"/>
    <w:rsid w:val="008E205D"/>
    <w:rsid w:val="008E2108"/>
    <w:rsid w:val="008E2224"/>
    <w:rsid w:val="008E461D"/>
    <w:rsid w:val="008E4857"/>
    <w:rsid w:val="008E48B0"/>
    <w:rsid w:val="008E6179"/>
    <w:rsid w:val="008F018E"/>
    <w:rsid w:val="008F0AB7"/>
    <w:rsid w:val="008F3017"/>
    <w:rsid w:val="008F4048"/>
    <w:rsid w:val="008F4094"/>
    <w:rsid w:val="008F5194"/>
    <w:rsid w:val="008F6DFA"/>
    <w:rsid w:val="008F7AC1"/>
    <w:rsid w:val="008F7C11"/>
    <w:rsid w:val="00901975"/>
    <w:rsid w:val="00904846"/>
    <w:rsid w:val="009052F4"/>
    <w:rsid w:val="00905DA5"/>
    <w:rsid w:val="009071AA"/>
    <w:rsid w:val="009076B5"/>
    <w:rsid w:val="009079E2"/>
    <w:rsid w:val="009122ED"/>
    <w:rsid w:val="00912394"/>
    <w:rsid w:val="00913F1D"/>
    <w:rsid w:val="00914D41"/>
    <w:rsid w:val="00917B34"/>
    <w:rsid w:val="00920540"/>
    <w:rsid w:val="00921728"/>
    <w:rsid w:val="00922D6C"/>
    <w:rsid w:val="00923DCE"/>
    <w:rsid w:val="009244F3"/>
    <w:rsid w:val="0092513E"/>
    <w:rsid w:val="0092543A"/>
    <w:rsid w:val="00925770"/>
    <w:rsid w:val="00926321"/>
    <w:rsid w:val="009305D0"/>
    <w:rsid w:val="0093166F"/>
    <w:rsid w:val="00931C04"/>
    <w:rsid w:val="00931F75"/>
    <w:rsid w:val="00932627"/>
    <w:rsid w:val="0093285B"/>
    <w:rsid w:val="00933EBE"/>
    <w:rsid w:val="00934468"/>
    <w:rsid w:val="0093470C"/>
    <w:rsid w:val="00936F59"/>
    <w:rsid w:val="0094301D"/>
    <w:rsid w:val="009430CC"/>
    <w:rsid w:val="00943E70"/>
    <w:rsid w:val="009457D8"/>
    <w:rsid w:val="00947587"/>
    <w:rsid w:val="00947FC5"/>
    <w:rsid w:val="009512FD"/>
    <w:rsid w:val="00951408"/>
    <w:rsid w:val="00952665"/>
    <w:rsid w:val="00956F04"/>
    <w:rsid w:val="0095701C"/>
    <w:rsid w:val="009575EF"/>
    <w:rsid w:val="00962CB9"/>
    <w:rsid w:val="00963366"/>
    <w:rsid w:val="00964196"/>
    <w:rsid w:val="00965775"/>
    <w:rsid w:val="00965A01"/>
    <w:rsid w:val="009672A7"/>
    <w:rsid w:val="0096763F"/>
    <w:rsid w:val="00970289"/>
    <w:rsid w:val="00970E7B"/>
    <w:rsid w:val="00971122"/>
    <w:rsid w:val="009716EC"/>
    <w:rsid w:val="009718F1"/>
    <w:rsid w:val="00974CA0"/>
    <w:rsid w:val="009772E8"/>
    <w:rsid w:val="00980B32"/>
    <w:rsid w:val="00982CC2"/>
    <w:rsid w:val="00983042"/>
    <w:rsid w:val="00984365"/>
    <w:rsid w:val="009844BC"/>
    <w:rsid w:val="00985205"/>
    <w:rsid w:val="00986ADD"/>
    <w:rsid w:val="00987BE0"/>
    <w:rsid w:val="00987FB1"/>
    <w:rsid w:val="0099075D"/>
    <w:rsid w:val="00991CA3"/>
    <w:rsid w:val="009941F0"/>
    <w:rsid w:val="00994254"/>
    <w:rsid w:val="009945E9"/>
    <w:rsid w:val="00995697"/>
    <w:rsid w:val="009A175F"/>
    <w:rsid w:val="009A2B04"/>
    <w:rsid w:val="009A2F82"/>
    <w:rsid w:val="009A5AA4"/>
    <w:rsid w:val="009A64C4"/>
    <w:rsid w:val="009B0475"/>
    <w:rsid w:val="009B11C6"/>
    <w:rsid w:val="009B1F24"/>
    <w:rsid w:val="009B3D9B"/>
    <w:rsid w:val="009B500C"/>
    <w:rsid w:val="009B558F"/>
    <w:rsid w:val="009B56F0"/>
    <w:rsid w:val="009B579B"/>
    <w:rsid w:val="009B5AEC"/>
    <w:rsid w:val="009B645A"/>
    <w:rsid w:val="009C006B"/>
    <w:rsid w:val="009C1C48"/>
    <w:rsid w:val="009C261B"/>
    <w:rsid w:val="009C274C"/>
    <w:rsid w:val="009C3135"/>
    <w:rsid w:val="009C3CAB"/>
    <w:rsid w:val="009C50D3"/>
    <w:rsid w:val="009C74AF"/>
    <w:rsid w:val="009D0B12"/>
    <w:rsid w:val="009D1B51"/>
    <w:rsid w:val="009D3215"/>
    <w:rsid w:val="009D4AAA"/>
    <w:rsid w:val="009D5BFA"/>
    <w:rsid w:val="009D7885"/>
    <w:rsid w:val="009E0EDF"/>
    <w:rsid w:val="009E1108"/>
    <w:rsid w:val="009E16CA"/>
    <w:rsid w:val="009E1C99"/>
    <w:rsid w:val="009E2476"/>
    <w:rsid w:val="009E2616"/>
    <w:rsid w:val="009E27FB"/>
    <w:rsid w:val="009E2997"/>
    <w:rsid w:val="009E2E61"/>
    <w:rsid w:val="009E30F4"/>
    <w:rsid w:val="009E5C05"/>
    <w:rsid w:val="009E5C9B"/>
    <w:rsid w:val="009E77DB"/>
    <w:rsid w:val="009E7ECC"/>
    <w:rsid w:val="009F1A0A"/>
    <w:rsid w:val="009F1F83"/>
    <w:rsid w:val="009F2E71"/>
    <w:rsid w:val="009F3FC7"/>
    <w:rsid w:val="009F40CA"/>
    <w:rsid w:val="009F4225"/>
    <w:rsid w:val="009F5569"/>
    <w:rsid w:val="009F63F6"/>
    <w:rsid w:val="009F67ED"/>
    <w:rsid w:val="009F71C7"/>
    <w:rsid w:val="009F748B"/>
    <w:rsid w:val="00A0120F"/>
    <w:rsid w:val="00A01AC1"/>
    <w:rsid w:val="00A02F03"/>
    <w:rsid w:val="00A03002"/>
    <w:rsid w:val="00A050BF"/>
    <w:rsid w:val="00A05AEB"/>
    <w:rsid w:val="00A060D4"/>
    <w:rsid w:val="00A0659D"/>
    <w:rsid w:val="00A11DC8"/>
    <w:rsid w:val="00A11F15"/>
    <w:rsid w:val="00A120FB"/>
    <w:rsid w:val="00A12831"/>
    <w:rsid w:val="00A12D5B"/>
    <w:rsid w:val="00A12DD0"/>
    <w:rsid w:val="00A14318"/>
    <w:rsid w:val="00A14A25"/>
    <w:rsid w:val="00A14E96"/>
    <w:rsid w:val="00A17A2A"/>
    <w:rsid w:val="00A20092"/>
    <w:rsid w:val="00A20286"/>
    <w:rsid w:val="00A20331"/>
    <w:rsid w:val="00A209D4"/>
    <w:rsid w:val="00A21945"/>
    <w:rsid w:val="00A21D89"/>
    <w:rsid w:val="00A21EB3"/>
    <w:rsid w:val="00A238E4"/>
    <w:rsid w:val="00A239A7"/>
    <w:rsid w:val="00A23BEF"/>
    <w:rsid w:val="00A24198"/>
    <w:rsid w:val="00A247C4"/>
    <w:rsid w:val="00A24C62"/>
    <w:rsid w:val="00A26CE1"/>
    <w:rsid w:val="00A3036E"/>
    <w:rsid w:val="00A310F5"/>
    <w:rsid w:val="00A32880"/>
    <w:rsid w:val="00A3291E"/>
    <w:rsid w:val="00A3306F"/>
    <w:rsid w:val="00A3429E"/>
    <w:rsid w:val="00A34372"/>
    <w:rsid w:val="00A349D8"/>
    <w:rsid w:val="00A34E22"/>
    <w:rsid w:val="00A3652C"/>
    <w:rsid w:val="00A36991"/>
    <w:rsid w:val="00A400A6"/>
    <w:rsid w:val="00A42321"/>
    <w:rsid w:val="00A4331A"/>
    <w:rsid w:val="00A448A3"/>
    <w:rsid w:val="00A50E51"/>
    <w:rsid w:val="00A53223"/>
    <w:rsid w:val="00A532A8"/>
    <w:rsid w:val="00A53353"/>
    <w:rsid w:val="00A53C75"/>
    <w:rsid w:val="00A54055"/>
    <w:rsid w:val="00A57B4C"/>
    <w:rsid w:val="00A60A6E"/>
    <w:rsid w:val="00A60D58"/>
    <w:rsid w:val="00A61EBC"/>
    <w:rsid w:val="00A641B9"/>
    <w:rsid w:val="00A66AD3"/>
    <w:rsid w:val="00A67365"/>
    <w:rsid w:val="00A67FBD"/>
    <w:rsid w:val="00A70FA7"/>
    <w:rsid w:val="00A7525C"/>
    <w:rsid w:val="00A75355"/>
    <w:rsid w:val="00A75801"/>
    <w:rsid w:val="00A75B6D"/>
    <w:rsid w:val="00A80484"/>
    <w:rsid w:val="00A80D66"/>
    <w:rsid w:val="00A8316D"/>
    <w:rsid w:val="00A86EF8"/>
    <w:rsid w:val="00A8711B"/>
    <w:rsid w:val="00A91FBA"/>
    <w:rsid w:val="00A92331"/>
    <w:rsid w:val="00A92C60"/>
    <w:rsid w:val="00A93B6E"/>
    <w:rsid w:val="00A97456"/>
    <w:rsid w:val="00A979F3"/>
    <w:rsid w:val="00A97BFF"/>
    <w:rsid w:val="00AA1979"/>
    <w:rsid w:val="00AA3A7C"/>
    <w:rsid w:val="00AA45E1"/>
    <w:rsid w:val="00AA5344"/>
    <w:rsid w:val="00AA64A6"/>
    <w:rsid w:val="00AA6ACC"/>
    <w:rsid w:val="00AB0730"/>
    <w:rsid w:val="00AB08F4"/>
    <w:rsid w:val="00AB0946"/>
    <w:rsid w:val="00AB0F33"/>
    <w:rsid w:val="00AB3BE8"/>
    <w:rsid w:val="00AB4641"/>
    <w:rsid w:val="00AB4AD6"/>
    <w:rsid w:val="00AB511C"/>
    <w:rsid w:val="00AB6740"/>
    <w:rsid w:val="00AB7105"/>
    <w:rsid w:val="00AB7D2E"/>
    <w:rsid w:val="00AC3E15"/>
    <w:rsid w:val="00AC4A28"/>
    <w:rsid w:val="00AC6178"/>
    <w:rsid w:val="00AC7560"/>
    <w:rsid w:val="00AC7E1E"/>
    <w:rsid w:val="00AD0083"/>
    <w:rsid w:val="00AD125C"/>
    <w:rsid w:val="00AD2A06"/>
    <w:rsid w:val="00AD46EF"/>
    <w:rsid w:val="00AD7511"/>
    <w:rsid w:val="00AD763C"/>
    <w:rsid w:val="00AE0B89"/>
    <w:rsid w:val="00AE1930"/>
    <w:rsid w:val="00AE1B0B"/>
    <w:rsid w:val="00AE2BE4"/>
    <w:rsid w:val="00AE334E"/>
    <w:rsid w:val="00AE5322"/>
    <w:rsid w:val="00AE6F21"/>
    <w:rsid w:val="00AE777D"/>
    <w:rsid w:val="00AF04FB"/>
    <w:rsid w:val="00AF0737"/>
    <w:rsid w:val="00AF0B3B"/>
    <w:rsid w:val="00AF3010"/>
    <w:rsid w:val="00AF3A7C"/>
    <w:rsid w:val="00AF5CFA"/>
    <w:rsid w:val="00AF6FE5"/>
    <w:rsid w:val="00AF7AB8"/>
    <w:rsid w:val="00AF7D30"/>
    <w:rsid w:val="00B00D1D"/>
    <w:rsid w:val="00B0117D"/>
    <w:rsid w:val="00B0261B"/>
    <w:rsid w:val="00B03DE5"/>
    <w:rsid w:val="00B05CB8"/>
    <w:rsid w:val="00B05CBB"/>
    <w:rsid w:val="00B06EE8"/>
    <w:rsid w:val="00B10694"/>
    <w:rsid w:val="00B1077F"/>
    <w:rsid w:val="00B11311"/>
    <w:rsid w:val="00B11451"/>
    <w:rsid w:val="00B13AA6"/>
    <w:rsid w:val="00B13EF3"/>
    <w:rsid w:val="00B1429E"/>
    <w:rsid w:val="00B15B40"/>
    <w:rsid w:val="00B163BC"/>
    <w:rsid w:val="00B16E32"/>
    <w:rsid w:val="00B16E83"/>
    <w:rsid w:val="00B20080"/>
    <w:rsid w:val="00B2306B"/>
    <w:rsid w:val="00B25356"/>
    <w:rsid w:val="00B266C7"/>
    <w:rsid w:val="00B27185"/>
    <w:rsid w:val="00B32323"/>
    <w:rsid w:val="00B328DE"/>
    <w:rsid w:val="00B33107"/>
    <w:rsid w:val="00B33B5F"/>
    <w:rsid w:val="00B33C51"/>
    <w:rsid w:val="00B34100"/>
    <w:rsid w:val="00B357B1"/>
    <w:rsid w:val="00B36A30"/>
    <w:rsid w:val="00B379D1"/>
    <w:rsid w:val="00B37B8D"/>
    <w:rsid w:val="00B40A11"/>
    <w:rsid w:val="00B42DAF"/>
    <w:rsid w:val="00B435E6"/>
    <w:rsid w:val="00B43779"/>
    <w:rsid w:val="00B43989"/>
    <w:rsid w:val="00B44CAC"/>
    <w:rsid w:val="00B45394"/>
    <w:rsid w:val="00B45580"/>
    <w:rsid w:val="00B46A75"/>
    <w:rsid w:val="00B47E3E"/>
    <w:rsid w:val="00B512B2"/>
    <w:rsid w:val="00B521A4"/>
    <w:rsid w:val="00B529E8"/>
    <w:rsid w:val="00B54E53"/>
    <w:rsid w:val="00B55F18"/>
    <w:rsid w:val="00B55F4E"/>
    <w:rsid w:val="00B56209"/>
    <w:rsid w:val="00B564EA"/>
    <w:rsid w:val="00B57F67"/>
    <w:rsid w:val="00B60EA7"/>
    <w:rsid w:val="00B6114C"/>
    <w:rsid w:val="00B61FB1"/>
    <w:rsid w:val="00B6249D"/>
    <w:rsid w:val="00B63D16"/>
    <w:rsid w:val="00B64678"/>
    <w:rsid w:val="00B65CCB"/>
    <w:rsid w:val="00B65D71"/>
    <w:rsid w:val="00B667D7"/>
    <w:rsid w:val="00B673B7"/>
    <w:rsid w:val="00B67BD2"/>
    <w:rsid w:val="00B67D38"/>
    <w:rsid w:val="00B7029D"/>
    <w:rsid w:val="00B70971"/>
    <w:rsid w:val="00B710BB"/>
    <w:rsid w:val="00B714CC"/>
    <w:rsid w:val="00B71DB2"/>
    <w:rsid w:val="00B72F6C"/>
    <w:rsid w:val="00B73014"/>
    <w:rsid w:val="00B732FB"/>
    <w:rsid w:val="00B73422"/>
    <w:rsid w:val="00B74D3A"/>
    <w:rsid w:val="00B75FB3"/>
    <w:rsid w:val="00B8136E"/>
    <w:rsid w:val="00B87013"/>
    <w:rsid w:val="00B8785A"/>
    <w:rsid w:val="00B87FDF"/>
    <w:rsid w:val="00B91359"/>
    <w:rsid w:val="00B91964"/>
    <w:rsid w:val="00B9326D"/>
    <w:rsid w:val="00B934EA"/>
    <w:rsid w:val="00B9380B"/>
    <w:rsid w:val="00B93EAD"/>
    <w:rsid w:val="00B9514C"/>
    <w:rsid w:val="00B9586D"/>
    <w:rsid w:val="00B9657B"/>
    <w:rsid w:val="00B96706"/>
    <w:rsid w:val="00BA0C93"/>
    <w:rsid w:val="00BA1DA6"/>
    <w:rsid w:val="00BA2DE9"/>
    <w:rsid w:val="00BA30B0"/>
    <w:rsid w:val="00BA3AA1"/>
    <w:rsid w:val="00BA3D0B"/>
    <w:rsid w:val="00BA3D11"/>
    <w:rsid w:val="00BA639A"/>
    <w:rsid w:val="00BA74E3"/>
    <w:rsid w:val="00BB0112"/>
    <w:rsid w:val="00BB1D2B"/>
    <w:rsid w:val="00BB3639"/>
    <w:rsid w:val="00BB4683"/>
    <w:rsid w:val="00BB47C0"/>
    <w:rsid w:val="00BB4DC9"/>
    <w:rsid w:val="00BB664E"/>
    <w:rsid w:val="00BB6811"/>
    <w:rsid w:val="00BB6D82"/>
    <w:rsid w:val="00BB76E3"/>
    <w:rsid w:val="00BC02F8"/>
    <w:rsid w:val="00BC2D93"/>
    <w:rsid w:val="00BC35CC"/>
    <w:rsid w:val="00BC5441"/>
    <w:rsid w:val="00BC6ABC"/>
    <w:rsid w:val="00BD0855"/>
    <w:rsid w:val="00BD0D52"/>
    <w:rsid w:val="00BD21A0"/>
    <w:rsid w:val="00BD3939"/>
    <w:rsid w:val="00BD3D96"/>
    <w:rsid w:val="00BD48B3"/>
    <w:rsid w:val="00BD49F8"/>
    <w:rsid w:val="00BD6967"/>
    <w:rsid w:val="00BD725A"/>
    <w:rsid w:val="00BE1687"/>
    <w:rsid w:val="00BE4344"/>
    <w:rsid w:val="00BE5B34"/>
    <w:rsid w:val="00BE6642"/>
    <w:rsid w:val="00BE6B26"/>
    <w:rsid w:val="00BF099D"/>
    <w:rsid w:val="00BF0B04"/>
    <w:rsid w:val="00BF0EE9"/>
    <w:rsid w:val="00BF12E8"/>
    <w:rsid w:val="00BF2135"/>
    <w:rsid w:val="00BF5194"/>
    <w:rsid w:val="00BF6413"/>
    <w:rsid w:val="00BF6D3A"/>
    <w:rsid w:val="00BF718A"/>
    <w:rsid w:val="00BF7734"/>
    <w:rsid w:val="00C00E8D"/>
    <w:rsid w:val="00C01B20"/>
    <w:rsid w:val="00C03CF1"/>
    <w:rsid w:val="00C0451C"/>
    <w:rsid w:val="00C079A2"/>
    <w:rsid w:val="00C07EBB"/>
    <w:rsid w:val="00C111B9"/>
    <w:rsid w:val="00C12425"/>
    <w:rsid w:val="00C13182"/>
    <w:rsid w:val="00C14B2E"/>
    <w:rsid w:val="00C153A7"/>
    <w:rsid w:val="00C15717"/>
    <w:rsid w:val="00C1592F"/>
    <w:rsid w:val="00C171B4"/>
    <w:rsid w:val="00C2296D"/>
    <w:rsid w:val="00C234B6"/>
    <w:rsid w:val="00C23B1F"/>
    <w:rsid w:val="00C2463A"/>
    <w:rsid w:val="00C24B73"/>
    <w:rsid w:val="00C271CC"/>
    <w:rsid w:val="00C30DC0"/>
    <w:rsid w:val="00C3106A"/>
    <w:rsid w:val="00C32513"/>
    <w:rsid w:val="00C3263E"/>
    <w:rsid w:val="00C339F8"/>
    <w:rsid w:val="00C351D5"/>
    <w:rsid w:val="00C3520D"/>
    <w:rsid w:val="00C35830"/>
    <w:rsid w:val="00C37427"/>
    <w:rsid w:val="00C379A1"/>
    <w:rsid w:val="00C40ECB"/>
    <w:rsid w:val="00C41576"/>
    <w:rsid w:val="00C42F7B"/>
    <w:rsid w:val="00C45107"/>
    <w:rsid w:val="00C4576F"/>
    <w:rsid w:val="00C46331"/>
    <w:rsid w:val="00C528FD"/>
    <w:rsid w:val="00C53CD7"/>
    <w:rsid w:val="00C54F1B"/>
    <w:rsid w:val="00C55CC9"/>
    <w:rsid w:val="00C57A7F"/>
    <w:rsid w:val="00C57ABD"/>
    <w:rsid w:val="00C6340A"/>
    <w:rsid w:val="00C63C0C"/>
    <w:rsid w:val="00C64D43"/>
    <w:rsid w:val="00C657DD"/>
    <w:rsid w:val="00C659AD"/>
    <w:rsid w:val="00C6685D"/>
    <w:rsid w:val="00C66E88"/>
    <w:rsid w:val="00C67CA6"/>
    <w:rsid w:val="00C705DE"/>
    <w:rsid w:val="00C713EF"/>
    <w:rsid w:val="00C724F6"/>
    <w:rsid w:val="00C73275"/>
    <w:rsid w:val="00C73AFF"/>
    <w:rsid w:val="00C73D16"/>
    <w:rsid w:val="00C74909"/>
    <w:rsid w:val="00C74AA3"/>
    <w:rsid w:val="00C74AA7"/>
    <w:rsid w:val="00C74AA8"/>
    <w:rsid w:val="00C76121"/>
    <w:rsid w:val="00C76E10"/>
    <w:rsid w:val="00C80D2C"/>
    <w:rsid w:val="00C8150A"/>
    <w:rsid w:val="00C83420"/>
    <w:rsid w:val="00C83D55"/>
    <w:rsid w:val="00C85E00"/>
    <w:rsid w:val="00C902AD"/>
    <w:rsid w:val="00C91255"/>
    <w:rsid w:val="00C91321"/>
    <w:rsid w:val="00C92D4C"/>
    <w:rsid w:val="00C94B6C"/>
    <w:rsid w:val="00C95CAF"/>
    <w:rsid w:val="00C95F8A"/>
    <w:rsid w:val="00C9714E"/>
    <w:rsid w:val="00C976E2"/>
    <w:rsid w:val="00C97FC4"/>
    <w:rsid w:val="00CA05AF"/>
    <w:rsid w:val="00CA0821"/>
    <w:rsid w:val="00CA1DC9"/>
    <w:rsid w:val="00CA2E9E"/>
    <w:rsid w:val="00CA35DE"/>
    <w:rsid w:val="00CA36CB"/>
    <w:rsid w:val="00CA39BE"/>
    <w:rsid w:val="00CA4DDF"/>
    <w:rsid w:val="00CA55AB"/>
    <w:rsid w:val="00CA69D2"/>
    <w:rsid w:val="00CA7E81"/>
    <w:rsid w:val="00CB0B94"/>
    <w:rsid w:val="00CB0CBD"/>
    <w:rsid w:val="00CB0E45"/>
    <w:rsid w:val="00CB13C4"/>
    <w:rsid w:val="00CB236A"/>
    <w:rsid w:val="00CB2955"/>
    <w:rsid w:val="00CB34E6"/>
    <w:rsid w:val="00CB3618"/>
    <w:rsid w:val="00CB3FE9"/>
    <w:rsid w:val="00CB6245"/>
    <w:rsid w:val="00CC0190"/>
    <w:rsid w:val="00CC0526"/>
    <w:rsid w:val="00CC0BA5"/>
    <w:rsid w:val="00CC18ED"/>
    <w:rsid w:val="00CC265A"/>
    <w:rsid w:val="00CC2888"/>
    <w:rsid w:val="00CC36C0"/>
    <w:rsid w:val="00CC4983"/>
    <w:rsid w:val="00CC4FE9"/>
    <w:rsid w:val="00CD06F3"/>
    <w:rsid w:val="00CD0BAF"/>
    <w:rsid w:val="00CD163B"/>
    <w:rsid w:val="00CD2D6D"/>
    <w:rsid w:val="00CD2E2B"/>
    <w:rsid w:val="00CD3CCC"/>
    <w:rsid w:val="00CE043C"/>
    <w:rsid w:val="00CE34CA"/>
    <w:rsid w:val="00CE3AC1"/>
    <w:rsid w:val="00CE5CC5"/>
    <w:rsid w:val="00CF2186"/>
    <w:rsid w:val="00CF3974"/>
    <w:rsid w:val="00CF5C7A"/>
    <w:rsid w:val="00CF6824"/>
    <w:rsid w:val="00CF68B3"/>
    <w:rsid w:val="00D0030C"/>
    <w:rsid w:val="00D0047A"/>
    <w:rsid w:val="00D006E9"/>
    <w:rsid w:val="00D0159E"/>
    <w:rsid w:val="00D01969"/>
    <w:rsid w:val="00D01BCC"/>
    <w:rsid w:val="00D02C93"/>
    <w:rsid w:val="00D0373C"/>
    <w:rsid w:val="00D046D3"/>
    <w:rsid w:val="00D04761"/>
    <w:rsid w:val="00D04EB6"/>
    <w:rsid w:val="00D05C12"/>
    <w:rsid w:val="00D06290"/>
    <w:rsid w:val="00D06704"/>
    <w:rsid w:val="00D105D6"/>
    <w:rsid w:val="00D11703"/>
    <w:rsid w:val="00D127F8"/>
    <w:rsid w:val="00D15330"/>
    <w:rsid w:val="00D15FF1"/>
    <w:rsid w:val="00D16C39"/>
    <w:rsid w:val="00D17E0E"/>
    <w:rsid w:val="00D21CA8"/>
    <w:rsid w:val="00D22433"/>
    <w:rsid w:val="00D24209"/>
    <w:rsid w:val="00D24DF2"/>
    <w:rsid w:val="00D25047"/>
    <w:rsid w:val="00D251FC"/>
    <w:rsid w:val="00D25A4B"/>
    <w:rsid w:val="00D30761"/>
    <w:rsid w:val="00D3077D"/>
    <w:rsid w:val="00D30C4C"/>
    <w:rsid w:val="00D3256A"/>
    <w:rsid w:val="00D32990"/>
    <w:rsid w:val="00D33EF1"/>
    <w:rsid w:val="00D357C1"/>
    <w:rsid w:val="00D37697"/>
    <w:rsid w:val="00D42C6D"/>
    <w:rsid w:val="00D4509A"/>
    <w:rsid w:val="00D451E5"/>
    <w:rsid w:val="00D473A9"/>
    <w:rsid w:val="00D47C5C"/>
    <w:rsid w:val="00D50827"/>
    <w:rsid w:val="00D51B33"/>
    <w:rsid w:val="00D52264"/>
    <w:rsid w:val="00D53745"/>
    <w:rsid w:val="00D538D7"/>
    <w:rsid w:val="00D544A8"/>
    <w:rsid w:val="00D54D7B"/>
    <w:rsid w:val="00D55DB5"/>
    <w:rsid w:val="00D6031B"/>
    <w:rsid w:val="00D60CFB"/>
    <w:rsid w:val="00D61D6A"/>
    <w:rsid w:val="00D62B18"/>
    <w:rsid w:val="00D62DE3"/>
    <w:rsid w:val="00D62F5C"/>
    <w:rsid w:val="00D634BE"/>
    <w:rsid w:val="00D6392D"/>
    <w:rsid w:val="00D65A98"/>
    <w:rsid w:val="00D66052"/>
    <w:rsid w:val="00D66439"/>
    <w:rsid w:val="00D66AE9"/>
    <w:rsid w:val="00D670A3"/>
    <w:rsid w:val="00D70963"/>
    <w:rsid w:val="00D7476E"/>
    <w:rsid w:val="00D751CF"/>
    <w:rsid w:val="00D761C7"/>
    <w:rsid w:val="00D77BBD"/>
    <w:rsid w:val="00D8023E"/>
    <w:rsid w:val="00D80310"/>
    <w:rsid w:val="00D824CE"/>
    <w:rsid w:val="00D84345"/>
    <w:rsid w:val="00D84B8F"/>
    <w:rsid w:val="00D857BB"/>
    <w:rsid w:val="00D907FF"/>
    <w:rsid w:val="00D92CD5"/>
    <w:rsid w:val="00D938E8"/>
    <w:rsid w:val="00D95119"/>
    <w:rsid w:val="00D967F5"/>
    <w:rsid w:val="00DA02A0"/>
    <w:rsid w:val="00DA0FC5"/>
    <w:rsid w:val="00DA1F5F"/>
    <w:rsid w:val="00DA2A8B"/>
    <w:rsid w:val="00DA2AA0"/>
    <w:rsid w:val="00DA4059"/>
    <w:rsid w:val="00DA41DF"/>
    <w:rsid w:val="00DA4718"/>
    <w:rsid w:val="00DA556B"/>
    <w:rsid w:val="00DA55B7"/>
    <w:rsid w:val="00DB0464"/>
    <w:rsid w:val="00DB078E"/>
    <w:rsid w:val="00DB0971"/>
    <w:rsid w:val="00DB1BEB"/>
    <w:rsid w:val="00DB270D"/>
    <w:rsid w:val="00DB2D08"/>
    <w:rsid w:val="00DB3F1F"/>
    <w:rsid w:val="00DB4E16"/>
    <w:rsid w:val="00DB6069"/>
    <w:rsid w:val="00DB7E13"/>
    <w:rsid w:val="00DC0C1D"/>
    <w:rsid w:val="00DC146A"/>
    <w:rsid w:val="00DC2014"/>
    <w:rsid w:val="00DC51C5"/>
    <w:rsid w:val="00DC55B9"/>
    <w:rsid w:val="00DC5C01"/>
    <w:rsid w:val="00DC5EA0"/>
    <w:rsid w:val="00DC6B63"/>
    <w:rsid w:val="00DD0362"/>
    <w:rsid w:val="00DD0D9C"/>
    <w:rsid w:val="00DD1BF9"/>
    <w:rsid w:val="00DD1C87"/>
    <w:rsid w:val="00DD1D63"/>
    <w:rsid w:val="00DD26D8"/>
    <w:rsid w:val="00DD2E8D"/>
    <w:rsid w:val="00DD3269"/>
    <w:rsid w:val="00DD3E1F"/>
    <w:rsid w:val="00DD4E41"/>
    <w:rsid w:val="00DD528B"/>
    <w:rsid w:val="00DE041C"/>
    <w:rsid w:val="00DE0D80"/>
    <w:rsid w:val="00DE1A5A"/>
    <w:rsid w:val="00DE1B9B"/>
    <w:rsid w:val="00DE233E"/>
    <w:rsid w:val="00DE259F"/>
    <w:rsid w:val="00DE2D03"/>
    <w:rsid w:val="00DE5695"/>
    <w:rsid w:val="00DE5737"/>
    <w:rsid w:val="00DE63BF"/>
    <w:rsid w:val="00DE728E"/>
    <w:rsid w:val="00DF049D"/>
    <w:rsid w:val="00DF050E"/>
    <w:rsid w:val="00DF06BC"/>
    <w:rsid w:val="00DF089B"/>
    <w:rsid w:val="00DF2BDA"/>
    <w:rsid w:val="00DF3F87"/>
    <w:rsid w:val="00DF4BCB"/>
    <w:rsid w:val="00DF507E"/>
    <w:rsid w:val="00DF582C"/>
    <w:rsid w:val="00DF58E2"/>
    <w:rsid w:val="00DF5A86"/>
    <w:rsid w:val="00E00FAE"/>
    <w:rsid w:val="00E01D8E"/>
    <w:rsid w:val="00E023A6"/>
    <w:rsid w:val="00E03B44"/>
    <w:rsid w:val="00E044D7"/>
    <w:rsid w:val="00E05622"/>
    <w:rsid w:val="00E05741"/>
    <w:rsid w:val="00E06086"/>
    <w:rsid w:val="00E06899"/>
    <w:rsid w:val="00E06B03"/>
    <w:rsid w:val="00E0748E"/>
    <w:rsid w:val="00E10C5C"/>
    <w:rsid w:val="00E11186"/>
    <w:rsid w:val="00E11FF5"/>
    <w:rsid w:val="00E1254B"/>
    <w:rsid w:val="00E12844"/>
    <w:rsid w:val="00E12DCF"/>
    <w:rsid w:val="00E12DF9"/>
    <w:rsid w:val="00E143B2"/>
    <w:rsid w:val="00E17964"/>
    <w:rsid w:val="00E209C0"/>
    <w:rsid w:val="00E214F3"/>
    <w:rsid w:val="00E23B1B"/>
    <w:rsid w:val="00E2484D"/>
    <w:rsid w:val="00E26376"/>
    <w:rsid w:val="00E2668F"/>
    <w:rsid w:val="00E26F9D"/>
    <w:rsid w:val="00E301F3"/>
    <w:rsid w:val="00E302D7"/>
    <w:rsid w:val="00E3056D"/>
    <w:rsid w:val="00E33193"/>
    <w:rsid w:val="00E339A2"/>
    <w:rsid w:val="00E378D0"/>
    <w:rsid w:val="00E41555"/>
    <w:rsid w:val="00E41660"/>
    <w:rsid w:val="00E416F8"/>
    <w:rsid w:val="00E4185A"/>
    <w:rsid w:val="00E420EF"/>
    <w:rsid w:val="00E427EC"/>
    <w:rsid w:val="00E44380"/>
    <w:rsid w:val="00E44832"/>
    <w:rsid w:val="00E4487D"/>
    <w:rsid w:val="00E44C40"/>
    <w:rsid w:val="00E5032B"/>
    <w:rsid w:val="00E52485"/>
    <w:rsid w:val="00E52CB9"/>
    <w:rsid w:val="00E55DB8"/>
    <w:rsid w:val="00E5715F"/>
    <w:rsid w:val="00E57866"/>
    <w:rsid w:val="00E5787D"/>
    <w:rsid w:val="00E57A56"/>
    <w:rsid w:val="00E60E6F"/>
    <w:rsid w:val="00E61BD1"/>
    <w:rsid w:val="00E62024"/>
    <w:rsid w:val="00E643A5"/>
    <w:rsid w:val="00E64E01"/>
    <w:rsid w:val="00E67441"/>
    <w:rsid w:val="00E700E7"/>
    <w:rsid w:val="00E71851"/>
    <w:rsid w:val="00E719FD"/>
    <w:rsid w:val="00E72788"/>
    <w:rsid w:val="00E7285C"/>
    <w:rsid w:val="00E72A70"/>
    <w:rsid w:val="00E72ADB"/>
    <w:rsid w:val="00E7323B"/>
    <w:rsid w:val="00E73E82"/>
    <w:rsid w:val="00E75BDD"/>
    <w:rsid w:val="00E75C26"/>
    <w:rsid w:val="00E75C31"/>
    <w:rsid w:val="00E766D9"/>
    <w:rsid w:val="00E7787A"/>
    <w:rsid w:val="00E82B87"/>
    <w:rsid w:val="00E82C7F"/>
    <w:rsid w:val="00E848E5"/>
    <w:rsid w:val="00E851CE"/>
    <w:rsid w:val="00E85348"/>
    <w:rsid w:val="00E85706"/>
    <w:rsid w:val="00E86594"/>
    <w:rsid w:val="00E86906"/>
    <w:rsid w:val="00E87748"/>
    <w:rsid w:val="00E87A97"/>
    <w:rsid w:val="00E87ACA"/>
    <w:rsid w:val="00E90219"/>
    <w:rsid w:val="00E9294E"/>
    <w:rsid w:val="00E93F09"/>
    <w:rsid w:val="00E94682"/>
    <w:rsid w:val="00E954AC"/>
    <w:rsid w:val="00E9762C"/>
    <w:rsid w:val="00E97DED"/>
    <w:rsid w:val="00EA18C6"/>
    <w:rsid w:val="00EA1E19"/>
    <w:rsid w:val="00EA3E9A"/>
    <w:rsid w:val="00EA5949"/>
    <w:rsid w:val="00EA6039"/>
    <w:rsid w:val="00EB3359"/>
    <w:rsid w:val="00EB3B41"/>
    <w:rsid w:val="00EB4F65"/>
    <w:rsid w:val="00EB663E"/>
    <w:rsid w:val="00EB7A72"/>
    <w:rsid w:val="00EC0DAC"/>
    <w:rsid w:val="00EC1019"/>
    <w:rsid w:val="00EC2BE8"/>
    <w:rsid w:val="00EC2E48"/>
    <w:rsid w:val="00EC3B1C"/>
    <w:rsid w:val="00EC3BA2"/>
    <w:rsid w:val="00EC3C2B"/>
    <w:rsid w:val="00EC3CD1"/>
    <w:rsid w:val="00EC528A"/>
    <w:rsid w:val="00EC7B8C"/>
    <w:rsid w:val="00ED0076"/>
    <w:rsid w:val="00ED04B6"/>
    <w:rsid w:val="00ED0972"/>
    <w:rsid w:val="00ED1B2D"/>
    <w:rsid w:val="00ED235A"/>
    <w:rsid w:val="00ED39C1"/>
    <w:rsid w:val="00ED4D79"/>
    <w:rsid w:val="00ED7407"/>
    <w:rsid w:val="00ED7C7E"/>
    <w:rsid w:val="00ED7D3F"/>
    <w:rsid w:val="00EE0D2E"/>
    <w:rsid w:val="00EE1681"/>
    <w:rsid w:val="00EE194F"/>
    <w:rsid w:val="00EE20E9"/>
    <w:rsid w:val="00EE24E1"/>
    <w:rsid w:val="00EE3687"/>
    <w:rsid w:val="00EE4092"/>
    <w:rsid w:val="00EE4241"/>
    <w:rsid w:val="00EE5E66"/>
    <w:rsid w:val="00EF0A84"/>
    <w:rsid w:val="00EF1678"/>
    <w:rsid w:val="00EF3588"/>
    <w:rsid w:val="00EF3839"/>
    <w:rsid w:val="00EF384A"/>
    <w:rsid w:val="00EF3983"/>
    <w:rsid w:val="00EF422B"/>
    <w:rsid w:val="00EF4231"/>
    <w:rsid w:val="00EF5EBE"/>
    <w:rsid w:val="00EF6310"/>
    <w:rsid w:val="00EF638F"/>
    <w:rsid w:val="00EF6E9B"/>
    <w:rsid w:val="00F01215"/>
    <w:rsid w:val="00F01346"/>
    <w:rsid w:val="00F02B34"/>
    <w:rsid w:val="00F04559"/>
    <w:rsid w:val="00F0500F"/>
    <w:rsid w:val="00F05B7B"/>
    <w:rsid w:val="00F076AE"/>
    <w:rsid w:val="00F10139"/>
    <w:rsid w:val="00F1094A"/>
    <w:rsid w:val="00F10F8F"/>
    <w:rsid w:val="00F11B1D"/>
    <w:rsid w:val="00F1224B"/>
    <w:rsid w:val="00F126AE"/>
    <w:rsid w:val="00F162E3"/>
    <w:rsid w:val="00F165EA"/>
    <w:rsid w:val="00F1673B"/>
    <w:rsid w:val="00F169A6"/>
    <w:rsid w:val="00F16FF9"/>
    <w:rsid w:val="00F173D4"/>
    <w:rsid w:val="00F212E6"/>
    <w:rsid w:val="00F228E3"/>
    <w:rsid w:val="00F24F0D"/>
    <w:rsid w:val="00F255AD"/>
    <w:rsid w:val="00F2588A"/>
    <w:rsid w:val="00F3005C"/>
    <w:rsid w:val="00F31C9D"/>
    <w:rsid w:val="00F31F92"/>
    <w:rsid w:val="00F3246A"/>
    <w:rsid w:val="00F34333"/>
    <w:rsid w:val="00F37EAB"/>
    <w:rsid w:val="00F4070D"/>
    <w:rsid w:val="00F40F77"/>
    <w:rsid w:val="00F410AA"/>
    <w:rsid w:val="00F4119B"/>
    <w:rsid w:val="00F41CAE"/>
    <w:rsid w:val="00F42783"/>
    <w:rsid w:val="00F4283E"/>
    <w:rsid w:val="00F43FC8"/>
    <w:rsid w:val="00F457F0"/>
    <w:rsid w:val="00F46C34"/>
    <w:rsid w:val="00F4730B"/>
    <w:rsid w:val="00F477D3"/>
    <w:rsid w:val="00F5040F"/>
    <w:rsid w:val="00F514F2"/>
    <w:rsid w:val="00F51BEE"/>
    <w:rsid w:val="00F51D82"/>
    <w:rsid w:val="00F5280E"/>
    <w:rsid w:val="00F52926"/>
    <w:rsid w:val="00F52FC6"/>
    <w:rsid w:val="00F538EF"/>
    <w:rsid w:val="00F5421E"/>
    <w:rsid w:val="00F54D4D"/>
    <w:rsid w:val="00F54EDD"/>
    <w:rsid w:val="00F56735"/>
    <w:rsid w:val="00F569EB"/>
    <w:rsid w:val="00F62447"/>
    <w:rsid w:val="00F636CB"/>
    <w:rsid w:val="00F63B58"/>
    <w:rsid w:val="00F63B9E"/>
    <w:rsid w:val="00F6461C"/>
    <w:rsid w:val="00F647B8"/>
    <w:rsid w:val="00F650E3"/>
    <w:rsid w:val="00F66542"/>
    <w:rsid w:val="00F6716C"/>
    <w:rsid w:val="00F67200"/>
    <w:rsid w:val="00F709ED"/>
    <w:rsid w:val="00F729A4"/>
    <w:rsid w:val="00F72BA2"/>
    <w:rsid w:val="00F72D3B"/>
    <w:rsid w:val="00F72E6D"/>
    <w:rsid w:val="00F743AC"/>
    <w:rsid w:val="00F75311"/>
    <w:rsid w:val="00F763D7"/>
    <w:rsid w:val="00F76C43"/>
    <w:rsid w:val="00F76F38"/>
    <w:rsid w:val="00F774DA"/>
    <w:rsid w:val="00F7779B"/>
    <w:rsid w:val="00F80EAB"/>
    <w:rsid w:val="00F8183F"/>
    <w:rsid w:val="00F81AF9"/>
    <w:rsid w:val="00F82FAF"/>
    <w:rsid w:val="00F845E0"/>
    <w:rsid w:val="00F86B3C"/>
    <w:rsid w:val="00F86F18"/>
    <w:rsid w:val="00F91E04"/>
    <w:rsid w:val="00F93107"/>
    <w:rsid w:val="00F93EB0"/>
    <w:rsid w:val="00FA13B7"/>
    <w:rsid w:val="00FA3C2A"/>
    <w:rsid w:val="00FA7DC2"/>
    <w:rsid w:val="00FB0412"/>
    <w:rsid w:val="00FB1394"/>
    <w:rsid w:val="00FB29B4"/>
    <w:rsid w:val="00FB4AD2"/>
    <w:rsid w:val="00FB4DC6"/>
    <w:rsid w:val="00FB4F39"/>
    <w:rsid w:val="00FB565D"/>
    <w:rsid w:val="00FB5AA5"/>
    <w:rsid w:val="00FB61D3"/>
    <w:rsid w:val="00FB6829"/>
    <w:rsid w:val="00FC0E9F"/>
    <w:rsid w:val="00FC23F7"/>
    <w:rsid w:val="00FC24E5"/>
    <w:rsid w:val="00FC28E6"/>
    <w:rsid w:val="00FC2DCB"/>
    <w:rsid w:val="00FC2F15"/>
    <w:rsid w:val="00FC353A"/>
    <w:rsid w:val="00FC35DA"/>
    <w:rsid w:val="00FC5169"/>
    <w:rsid w:val="00FC6366"/>
    <w:rsid w:val="00FC740B"/>
    <w:rsid w:val="00FC79A2"/>
    <w:rsid w:val="00FD01D9"/>
    <w:rsid w:val="00FD2A08"/>
    <w:rsid w:val="00FD2B96"/>
    <w:rsid w:val="00FD6163"/>
    <w:rsid w:val="00FD7B9F"/>
    <w:rsid w:val="00FD7F6E"/>
    <w:rsid w:val="00FE310F"/>
    <w:rsid w:val="00FE46D5"/>
    <w:rsid w:val="00FE65C3"/>
    <w:rsid w:val="00FE6AA1"/>
    <w:rsid w:val="00FF0D4C"/>
    <w:rsid w:val="00FF107D"/>
    <w:rsid w:val="00FF1A75"/>
    <w:rsid w:val="00FF23CF"/>
    <w:rsid w:val="00FF4315"/>
    <w:rsid w:val="00FF449A"/>
    <w:rsid w:val="00FF44EA"/>
    <w:rsid w:val="00FF468B"/>
    <w:rsid w:val="00FF5EDE"/>
    <w:rsid w:val="00FF6A74"/>
    <w:rsid w:val="00FF6C44"/>
    <w:rsid w:val="00FF6D30"/>
    <w:rsid w:val="01437FB2"/>
    <w:rsid w:val="02E3281A"/>
    <w:rsid w:val="03373831"/>
    <w:rsid w:val="03E71D2B"/>
    <w:rsid w:val="046608B7"/>
    <w:rsid w:val="04825795"/>
    <w:rsid w:val="05FE4F86"/>
    <w:rsid w:val="0608574F"/>
    <w:rsid w:val="0631563E"/>
    <w:rsid w:val="06BA6158"/>
    <w:rsid w:val="074D2313"/>
    <w:rsid w:val="079833BC"/>
    <w:rsid w:val="07F114D7"/>
    <w:rsid w:val="08CA1A4E"/>
    <w:rsid w:val="08F1660C"/>
    <w:rsid w:val="09274C90"/>
    <w:rsid w:val="09426E25"/>
    <w:rsid w:val="09462C69"/>
    <w:rsid w:val="095E5158"/>
    <w:rsid w:val="098D1D39"/>
    <w:rsid w:val="09BE56FB"/>
    <w:rsid w:val="09EC7118"/>
    <w:rsid w:val="09FF47D3"/>
    <w:rsid w:val="0A0D392F"/>
    <w:rsid w:val="0A811D71"/>
    <w:rsid w:val="0A83272C"/>
    <w:rsid w:val="0AB37A72"/>
    <w:rsid w:val="0B4E1E09"/>
    <w:rsid w:val="0B8A6BB7"/>
    <w:rsid w:val="0C555716"/>
    <w:rsid w:val="0C5A006F"/>
    <w:rsid w:val="0C977B88"/>
    <w:rsid w:val="0CCA75A3"/>
    <w:rsid w:val="0CCD23C2"/>
    <w:rsid w:val="0DCF39D1"/>
    <w:rsid w:val="0DE6619C"/>
    <w:rsid w:val="0EB9036B"/>
    <w:rsid w:val="0EF913B3"/>
    <w:rsid w:val="0F717E67"/>
    <w:rsid w:val="106D5447"/>
    <w:rsid w:val="10A038B9"/>
    <w:rsid w:val="111A7FB9"/>
    <w:rsid w:val="113E591B"/>
    <w:rsid w:val="115425E2"/>
    <w:rsid w:val="11E51FBD"/>
    <w:rsid w:val="120D6CD8"/>
    <w:rsid w:val="12166C60"/>
    <w:rsid w:val="12564EC4"/>
    <w:rsid w:val="128D2C21"/>
    <w:rsid w:val="132B41E8"/>
    <w:rsid w:val="1330185A"/>
    <w:rsid w:val="134377C5"/>
    <w:rsid w:val="136820D5"/>
    <w:rsid w:val="13890A3D"/>
    <w:rsid w:val="13BE2CEB"/>
    <w:rsid w:val="14873AAB"/>
    <w:rsid w:val="14D7452C"/>
    <w:rsid w:val="14DD4C1E"/>
    <w:rsid w:val="1508101E"/>
    <w:rsid w:val="15876E0B"/>
    <w:rsid w:val="15F90ADA"/>
    <w:rsid w:val="164C24BC"/>
    <w:rsid w:val="168E510F"/>
    <w:rsid w:val="170356BC"/>
    <w:rsid w:val="17BF1255"/>
    <w:rsid w:val="17FEFD93"/>
    <w:rsid w:val="18922CBE"/>
    <w:rsid w:val="19176000"/>
    <w:rsid w:val="193F02D1"/>
    <w:rsid w:val="19715580"/>
    <w:rsid w:val="19853BCD"/>
    <w:rsid w:val="1A1E1F16"/>
    <w:rsid w:val="1A2E4E78"/>
    <w:rsid w:val="1AE729CF"/>
    <w:rsid w:val="1B143568"/>
    <w:rsid w:val="1B5F6892"/>
    <w:rsid w:val="1BBE3A19"/>
    <w:rsid w:val="1C092151"/>
    <w:rsid w:val="1C104ACB"/>
    <w:rsid w:val="1C1D2E81"/>
    <w:rsid w:val="1C2269A1"/>
    <w:rsid w:val="1C630D89"/>
    <w:rsid w:val="1C860D4A"/>
    <w:rsid w:val="1CB3268E"/>
    <w:rsid w:val="1CDE236A"/>
    <w:rsid w:val="1DF774CF"/>
    <w:rsid w:val="1E5F5592"/>
    <w:rsid w:val="1E991593"/>
    <w:rsid w:val="1F316D64"/>
    <w:rsid w:val="1FD63F7E"/>
    <w:rsid w:val="1FDA3349"/>
    <w:rsid w:val="20FA788E"/>
    <w:rsid w:val="21AA64EE"/>
    <w:rsid w:val="21B32F0F"/>
    <w:rsid w:val="21EB074B"/>
    <w:rsid w:val="2243558A"/>
    <w:rsid w:val="226F0499"/>
    <w:rsid w:val="22B42D42"/>
    <w:rsid w:val="234D2D77"/>
    <w:rsid w:val="234F7026"/>
    <w:rsid w:val="23B51EDC"/>
    <w:rsid w:val="23C45FD1"/>
    <w:rsid w:val="24E015F1"/>
    <w:rsid w:val="25D55021"/>
    <w:rsid w:val="25EB34FB"/>
    <w:rsid w:val="26FEE27A"/>
    <w:rsid w:val="282C197F"/>
    <w:rsid w:val="287110CC"/>
    <w:rsid w:val="289606CA"/>
    <w:rsid w:val="28DE044E"/>
    <w:rsid w:val="29372A42"/>
    <w:rsid w:val="293840AB"/>
    <w:rsid w:val="299F19B0"/>
    <w:rsid w:val="2A84765B"/>
    <w:rsid w:val="2B5416F4"/>
    <w:rsid w:val="2B6B38EA"/>
    <w:rsid w:val="2BBB6677"/>
    <w:rsid w:val="2C383C25"/>
    <w:rsid w:val="2CB50AC7"/>
    <w:rsid w:val="2CED5F31"/>
    <w:rsid w:val="2D875169"/>
    <w:rsid w:val="2D8D3ECA"/>
    <w:rsid w:val="2D9740D6"/>
    <w:rsid w:val="2E986B9C"/>
    <w:rsid w:val="2EA72AC8"/>
    <w:rsid w:val="2F252B0C"/>
    <w:rsid w:val="2F2E20FB"/>
    <w:rsid w:val="2FDE2767"/>
    <w:rsid w:val="2FE96D72"/>
    <w:rsid w:val="301D0F28"/>
    <w:rsid w:val="30366B4C"/>
    <w:rsid w:val="308D55FE"/>
    <w:rsid w:val="31146FCA"/>
    <w:rsid w:val="3171137F"/>
    <w:rsid w:val="31E765FC"/>
    <w:rsid w:val="320D4B91"/>
    <w:rsid w:val="321C12E1"/>
    <w:rsid w:val="32590369"/>
    <w:rsid w:val="326D4F23"/>
    <w:rsid w:val="331166F4"/>
    <w:rsid w:val="340323FE"/>
    <w:rsid w:val="356647B2"/>
    <w:rsid w:val="363E4EC2"/>
    <w:rsid w:val="36B8684C"/>
    <w:rsid w:val="378E5944"/>
    <w:rsid w:val="37F60FF8"/>
    <w:rsid w:val="389C67F3"/>
    <w:rsid w:val="39704576"/>
    <w:rsid w:val="3976458B"/>
    <w:rsid w:val="39A55BD2"/>
    <w:rsid w:val="3A394843"/>
    <w:rsid w:val="3A4C0D62"/>
    <w:rsid w:val="3A596B8B"/>
    <w:rsid w:val="3B0F38EA"/>
    <w:rsid w:val="3B4069B8"/>
    <w:rsid w:val="3B695038"/>
    <w:rsid w:val="3C7D7D12"/>
    <w:rsid w:val="3C8D15E4"/>
    <w:rsid w:val="3CBD74A9"/>
    <w:rsid w:val="3D46296B"/>
    <w:rsid w:val="3D956C61"/>
    <w:rsid w:val="3DB5CF36"/>
    <w:rsid w:val="3F0A496E"/>
    <w:rsid w:val="3F216F60"/>
    <w:rsid w:val="3F2614FC"/>
    <w:rsid w:val="3F5E1013"/>
    <w:rsid w:val="3F656D35"/>
    <w:rsid w:val="3F996A55"/>
    <w:rsid w:val="3F9BDA6A"/>
    <w:rsid w:val="3FC92B3F"/>
    <w:rsid w:val="40581ADB"/>
    <w:rsid w:val="40797D43"/>
    <w:rsid w:val="411421A9"/>
    <w:rsid w:val="414123E0"/>
    <w:rsid w:val="415B6DA7"/>
    <w:rsid w:val="41B85313"/>
    <w:rsid w:val="42500826"/>
    <w:rsid w:val="428D7D89"/>
    <w:rsid w:val="428E5B35"/>
    <w:rsid w:val="42907C8A"/>
    <w:rsid w:val="42AB625F"/>
    <w:rsid w:val="42B21CEB"/>
    <w:rsid w:val="431A7EC3"/>
    <w:rsid w:val="43A0221E"/>
    <w:rsid w:val="43A26033"/>
    <w:rsid w:val="444C02CA"/>
    <w:rsid w:val="447A57C2"/>
    <w:rsid w:val="44AF1EB7"/>
    <w:rsid w:val="44CF5BAB"/>
    <w:rsid w:val="44D42D1C"/>
    <w:rsid w:val="4504475A"/>
    <w:rsid w:val="45585203"/>
    <w:rsid w:val="45733455"/>
    <w:rsid w:val="467B76E1"/>
    <w:rsid w:val="46A34641"/>
    <w:rsid w:val="46DA353E"/>
    <w:rsid w:val="477049E8"/>
    <w:rsid w:val="47A6751B"/>
    <w:rsid w:val="47BD2B98"/>
    <w:rsid w:val="47F13C56"/>
    <w:rsid w:val="48303787"/>
    <w:rsid w:val="484C07B1"/>
    <w:rsid w:val="485C1317"/>
    <w:rsid w:val="48EB6C0B"/>
    <w:rsid w:val="48F755D2"/>
    <w:rsid w:val="48FB7543"/>
    <w:rsid w:val="49071E9B"/>
    <w:rsid w:val="491A7EBA"/>
    <w:rsid w:val="49CF5040"/>
    <w:rsid w:val="4A15750F"/>
    <w:rsid w:val="4A8A69A7"/>
    <w:rsid w:val="4AA63C59"/>
    <w:rsid w:val="4ABA2D78"/>
    <w:rsid w:val="4AD84D35"/>
    <w:rsid w:val="4C7B5DA3"/>
    <w:rsid w:val="4CB2197E"/>
    <w:rsid w:val="4CC35826"/>
    <w:rsid w:val="4D89B6EF"/>
    <w:rsid w:val="4DF13948"/>
    <w:rsid w:val="4E677446"/>
    <w:rsid w:val="4EF63AE7"/>
    <w:rsid w:val="4F2F3ACD"/>
    <w:rsid w:val="4F8B2F27"/>
    <w:rsid w:val="4FC768C0"/>
    <w:rsid w:val="50EE165B"/>
    <w:rsid w:val="51744727"/>
    <w:rsid w:val="51D34F78"/>
    <w:rsid w:val="51FE5249"/>
    <w:rsid w:val="524F0E9E"/>
    <w:rsid w:val="525C151F"/>
    <w:rsid w:val="52722FB0"/>
    <w:rsid w:val="527F4E92"/>
    <w:rsid w:val="52F446B6"/>
    <w:rsid w:val="52FE4514"/>
    <w:rsid w:val="53005132"/>
    <w:rsid w:val="538C5533"/>
    <w:rsid w:val="53906FC1"/>
    <w:rsid w:val="53C36DDA"/>
    <w:rsid w:val="54727A6C"/>
    <w:rsid w:val="552E1B53"/>
    <w:rsid w:val="5567558D"/>
    <w:rsid w:val="55E733D3"/>
    <w:rsid w:val="57953278"/>
    <w:rsid w:val="587D0F2F"/>
    <w:rsid w:val="58E408DB"/>
    <w:rsid w:val="58F44C79"/>
    <w:rsid w:val="590962AA"/>
    <w:rsid w:val="591868E2"/>
    <w:rsid w:val="5A385395"/>
    <w:rsid w:val="5A8C4D4C"/>
    <w:rsid w:val="5AD55AFF"/>
    <w:rsid w:val="5AF44809"/>
    <w:rsid w:val="5B451222"/>
    <w:rsid w:val="5BAE1257"/>
    <w:rsid w:val="5BBA64AB"/>
    <w:rsid w:val="5BFE5D59"/>
    <w:rsid w:val="5C646732"/>
    <w:rsid w:val="5C933AC7"/>
    <w:rsid w:val="5C9C715D"/>
    <w:rsid w:val="5CFB0F9D"/>
    <w:rsid w:val="5D111AAA"/>
    <w:rsid w:val="5D942C10"/>
    <w:rsid w:val="5DBD09B3"/>
    <w:rsid w:val="5DF23751"/>
    <w:rsid w:val="5E00087B"/>
    <w:rsid w:val="5EBB358D"/>
    <w:rsid w:val="5EC24B67"/>
    <w:rsid w:val="5ECB1D75"/>
    <w:rsid w:val="5F062497"/>
    <w:rsid w:val="5F1B314D"/>
    <w:rsid w:val="60473DAE"/>
    <w:rsid w:val="60CC64DC"/>
    <w:rsid w:val="61010FE0"/>
    <w:rsid w:val="61500683"/>
    <w:rsid w:val="61583D4A"/>
    <w:rsid w:val="6234455B"/>
    <w:rsid w:val="625B3307"/>
    <w:rsid w:val="625F2F60"/>
    <w:rsid w:val="626B0982"/>
    <w:rsid w:val="62A17620"/>
    <w:rsid w:val="62AE6C58"/>
    <w:rsid w:val="63466B30"/>
    <w:rsid w:val="63670F24"/>
    <w:rsid w:val="63C310C9"/>
    <w:rsid w:val="64734ACF"/>
    <w:rsid w:val="64C44AC4"/>
    <w:rsid w:val="650D260B"/>
    <w:rsid w:val="654C57F6"/>
    <w:rsid w:val="659F5166"/>
    <w:rsid w:val="65A21939"/>
    <w:rsid w:val="65BF01A5"/>
    <w:rsid w:val="660877E3"/>
    <w:rsid w:val="6791659B"/>
    <w:rsid w:val="67E337BD"/>
    <w:rsid w:val="67E81E27"/>
    <w:rsid w:val="689D391F"/>
    <w:rsid w:val="6939297D"/>
    <w:rsid w:val="693B759C"/>
    <w:rsid w:val="69C31A5F"/>
    <w:rsid w:val="6A1C3A48"/>
    <w:rsid w:val="6AA851BD"/>
    <w:rsid w:val="6AD66D28"/>
    <w:rsid w:val="6B5133F3"/>
    <w:rsid w:val="6C6C1886"/>
    <w:rsid w:val="6CA135D5"/>
    <w:rsid w:val="6CB81ED3"/>
    <w:rsid w:val="6D4A7DDB"/>
    <w:rsid w:val="6DBE6CB3"/>
    <w:rsid w:val="6E384485"/>
    <w:rsid w:val="6E3C5272"/>
    <w:rsid w:val="6E55366C"/>
    <w:rsid w:val="6EF1A6EB"/>
    <w:rsid w:val="6FD30D52"/>
    <w:rsid w:val="6FFC6381"/>
    <w:rsid w:val="70083A32"/>
    <w:rsid w:val="71393E32"/>
    <w:rsid w:val="71814108"/>
    <w:rsid w:val="71B04AF9"/>
    <w:rsid w:val="71E778A6"/>
    <w:rsid w:val="72C15F28"/>
    <w:rsid w:val="72D123AE"/>
    <w:rsid w:val="730075F6"/>
    <w:rsid w:val="744267B6"/>
    <w:rsid w:val="74520F18"/>
    <w:rsid w:val="757B1893"/>
    <w:rsid w:val="75F12C3C"/>
    <w:rsid w:val="76072CC2"/>
    <w:rsid w:val="769641FD"/>
    <w:rsid w:val="77282B46"/>
    <w:rsid w:val="77F76E3A"/>
    <w:rsid w:val="789C0C13"/>
    <w:rsid w:val="78AF1315"/>
    <w:rsid w:val="78D232E2"/>
    <w:rsid w:val="78FC0266"/>
    <w:rsid w:val="7910039D"/>
    <w:rsid w:val="7961693A"/>
    <w:rsid w:val="79D51519"/>
    <w:rsid w:val="79F93DC4"/>
    <w:rsid w:val="7A3370D3"/>
    <w:rsid w:val="7A4C256B"/>
    <w:rsid w:val="7A5E67FE"/>
    <w:rsid w:val="7A980C7E"/>
    <w:rsid w:val="7B496534"/>
    <w:rsid w:val="7B88791A"/>
    <w:rsid w:val="7BDB332C"/>
    <w:rsid w:val="7C3F7814"/>
    <w:rsid w:val="7C5560CC"/>
    <w:rsid w:val="7C7A78AE"/>
    <w:rsid w:val="7CB36F60"/>
    <w:rsid w:val="7DCE13E3"/>
    <w:rsid w:val="7DFB6682"/>
    <w:rsid w:val="7DFE4187"/>
    <w:rsid w:val="7E24305B"/>
    <w:rsid w:val="7E5257C9"/>
    <w:rsid w:val="7E5C5697"/>
    <w:rsid w:val="7EB614DC"/>
    <w:rsid w:val="7F5A3DB0"/>
    <w:rsid w:val="7FBFCE7E"/>
    <w:rsid w:val="7FC26189"/>
    <w:rsid w:val="7FDD655E"/>
    <w:rsid w:val="7FE9F5F0"/>
    <w:rsid w:val="7FEF05EE"/>
    <w:rsid w:val="B9F1813B"/>
    <w:rsid w:val="BEFFB0B8"/>
    <w:rsid w:val="BFEA9127"/>
    <w:rsid w:val="BFFE20B2"/>
    <w:rsid w:val="DFFFE9B3"/>
    <w:rsid w:val="EBEBAF85"/>
    <w:rsid w:val="EF4D70C5"/>
    <w:rsid w:val="F9D07CC9"/>
    <w:rsid w:val="FEDE1B38"/>
    <w:rsid w:val="FEFA5A74"/>
    <w:rsid w:val="FF79750E"/>
    <w:rsid w:val="FFF7EDEB"/>
    <w:rsid w:val="FFFA1678"/>
    <w:rsid w:val="FFFF93D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sdException w:qFormat="1"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6"/>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locked/>
    <w:uiPriority w:val="0"/>
    <w:pPr>
      <w:spacing w:beforeAutospacing="1" w:afterAutospacing="1"/>
      <w:jc w:val="left"/>
      <w:outlineLvl w:val="2"/>
    </w:pPr>
    <w:rPr>
      <w:rFonts w:hint="eastAsia" w:ascii="宋体" w:hAnsi="宋体"/>
      <w:b/>
      <w:kern w:val="0"/>
      <w:sz w:val="27"/>
      <w:szCs w:val="27"/>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0"/>
    <w:pPr>
      <w:ind w:firstLine="420" w:firstLineChars="200"/>
    </w:pPr>
    <w:rPr>
      <w:rFonts w:ascii="Times New Roman" w:hAnsi="Times New Roman"/>
      <w:szCs w:val="24"/>
    </w:rPr>
  </w:style>
  <w:style w:type="paragraph" w:styleId="6">
    <w:name w:val="Document Map"/>
    <w:basedOn w:val="1"/>
    <w:link w:val="48"/>
    <w:semiHidden/>
    <w:unhideWhenUsed/>
    <w:qFormat/>
    <w:uiPriority w:val="99"/>
    <w:rPr>
      <w:rFonts w:ascii="宋体"/>
      <w:sz w:val="18"/>
      <w:szCs w:val="18"/>
    </w:rPr>
  </w:style>
  <w:style w:type="paragraph" w:styleId="7">
    <w:name w:val="annotation text"/>
    <w:basedOn w:val="1"/>
    <w:link w:val="30"/>
    <w:semiHidden/>
    <w:qFormat/>
    <w:uiPriority w:val="99"/>
    <w:pPr>
      <w:jc w:val="left"/>
    </w:pPr>
  </w:style>
  <w:style w:type="paragraph" w:styleId="8">
    <w:name w:val="Body Text Indent"/>
    <w:basedOn w:val="1"/>
    <w:qFormat/>
    <w:uiPriority w:val="0"/>
    <w:pPr>
      <w:adjustRightInd w:val="0"/>
      <w:ind w:firstLine="490"/>
      <w:jc w:val="left"/>
    </w:pPr>
    <w:rPr>
      <w:rFonts w:hint="eastAsia" w:ascii="宋体" w:hAnsi="宋体"/>
      <w:sz w:val="24"/>
    </w:rPr>
  </w:style>
  <w:style w:type="paragraph" w:styleId="9">
    <w:name w:val="toc 3"/>
    <w:basedOn w:val="1"/>
    <w:next w:val="1"/>
    <w:unhideWhenUsed/>
    <w:qFormat/>
    <w:locked/>
    <w:uiPriority w:val="39"/>
    <w:pPr>
      <w:widowControl/>
      <w:spacing w:after="100" w:line="276" w:lineRule="auto"/>
      <w:ind w:left="440"/>
      <w:jc w:val="left"/>
    </w:pPr>
    <w:rPr>
      <w:rFonts w:asciiTheme="minorHAnsi" w:hAnsiTheme="minorHAnsi" w:eastAsiaTheme="minorEastAsia" w:cstheme="minorBidi"/>
      <w:kern w:val="0"/>
      <w:sz w:val="22"/>
    </w:rPr>
  </w:style>
  <w:style w:type="paragraph" w:styleId="10">
    <w:name w:val="Date"/>
    <w:basedOn w:val="1"/>
    <w:next w:val="1"/>
    <w:link w:val="39"/>
    <w:semiHidden/>
    <w:unhideWhenUsed/>
    <w:qFormat/>
    <w:uiPriority w:val="99"/>
    <w:pPr>
      <w:ind w:left="100" w:leftChars="2500"/>
    </w:pPr>
  </w:style>
  <w:style w:type="paragraph" w:styleId="11">
    <w:name w:val="Balloon Text"/>
    <w:basedOn w:val="1"/>
    <w:link w:val="29"/>
    <w:semiHidden/>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7"/>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locked/>
    <w:uiPriority w:val="39"/>
    <w:pPr>
      <w:widowControl/>
      <w:tabs>
        <w:tab w:val="right" w:leader="dot" w:pos="8302"/>
      </w:tabs>
      <w:spacing w:after="100" w:line="276" w:lineRule="auto"/>
      <w:jc w:val="left"/>
    </w:pPr>
    <w:rPr>
      <w:rFonts w:ascii="黑体" w:hAnsi="黑体" w:eastAsia="黑体" w:cstheme="minorBidi"/>
      <w:b/>
      <w:kern w:val="0"/>
      <w:sz w:val="24"/>
      <w:szCs w:val="24"/>
    </w:rPr>
  </w:style>
  <w:style w:type="paragraph" w:styleId="15">
    <w:name w:val="footnote text"/>
    <w:basedOn w:val="1"/>
    <w:link w:val="40"/>
    <w:semiHidden/>
    <w:unhideWhenUsed/>
    <w:qFormat/>
    <w:uiPriority w:val="99"/>
    <w:pPr>
      <w:snapToGrid w:val="0"/>
      <w:jc w:val="left"/>
    </w:pPr>
    <w:rPr>
      <w:sz w:val="18"/>
      <w:szCs w:val="18"/>
    </w:rPr>
  </w:style>
  <w:style w:type="paragraph" w:styleId="16">
    <w:name w:val="toc 2"/>
    <w:basedOn w:val="1"/>
    <w:next w:val="1"/>
    <w:unhideWhenUsed/>
    <w:qFormat/>
    <w:locked/>
    <w:uiPriority w:val="39"/>
    <w:pPr>
      <w:widowControl/>
      <w:spacing w:after="100" w:line="276" w:lineRule="auto"/>
      <w:ind w:left="220"/>
      <w:jc w:val="left"/>
    </w:pPr>
    <w:rPr>
      <w:rFonts w:asciiTheme="minorHAnsi" w:hAnsiTheme="minorHAnsi" w:eastAsiaTheme="minorEastAsia" w:cstheme="minorBidi"/>
      <w:kern w:val="0"/>
      <w:sz w:val="22"/>
    </w:rPr>
  </w:style>
  <w:style w:type="paragraph" w:styleId="17">
    <w:name w:val="Normal (Web)"/>
    <w:basedOn w:val="1"/>
    <w:qFormat/>
    <w:uiPriority w:val="0"/>
    <w:pPr>
      <w:widowControl/>
      <w:spacing w:beforeAutospacing="1" w:afterAutospacing="1"/>
      <w:jc w:val="left"/>
    </w:pPr>
    <w:rPr>
      <w:rFonts w:ascii="宋体" w:hAnsi="宋体" w:cs="宋体"/>
      <w:kern w:val="0"/>
      <w:sz w:val="24"/>
      <w:szCs w:val="24"/>
    </w:rPr>
  </w:style>
  <w:style w:type="paragraph" w:styleId="18">
    <w:name w:val="annotation subject"/>
    <w:basedOn w:val="7"/>
    <w:next w:val="7"/>
    <w:link w:val="31"/>
    <w:semiHidden/>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locked/>
    <w:uiPriority w:val="22"/>
    <w:rPr>
      <w:b/>
      <w:bCs/>
    </w:rPr>
  </w:style>
  <w:style w:type="character" w:styleId="23">
    <w:name w:val="Hyperlink"/>
    <w:basedOn w:val="21"/>
    <w:qFormat/>
    <w:uiPriority w:val="99"/>
    <w:rPr>
      <w:rFonts w:cs="Times New Roman"/>
      <w:color w:val="0000FF"/>
      <w:u w:val="single"/>
    </w:rPr>
  </w:style>
  <w:style w:type="character" w:styleId="24">
    <w:name w:val="annotation reference"/>
    <w:basedOn w:val="21"/>
    <w:semiHidden/>
    <w:qFormat/>
    <w:uiPriority w:val="99"/>
    <w:rPr>
      <w:rFonts w:cs="Times New Roman"/>
      <w:sz w:val="21"/>
      <w:szCs w:val="21"/>
    </w:rPr>
  </w:style>
  <w:style w:type="character" w:styleId="25">
    <w:name w:val="footnote reference"/>
    <w:basedOn w:val="21"/>
    <w:semiHidden/>
    <w:unhideWhenUsed/>
    <w:qFormat/>
    <w:uiPriority w:val="99"/>
    <w:rPr>
      <w:vertAlign w:val="superscript"/>
    </w:rPr>
  </w:style>
  <w:style w:type="paragraph" w:customStyle="1" w:styleId="26">
    <w:name w:val="正文首行缩进 21"/>
    <w:basedOn w:val="8"/>
    <w:qFormat/>
    <w:uiPriority w:val="0"/>
    <w:pPr>
      <w:tabs>
        <w:tab w:val="left" w:pos="900"/>
      </w:tabs>
      <w:ind w:firstLine="420"/>
    </w:pPr>
    <w:rPr>
      <w:rFonts w:ascii="Times New Roman" w:hAnsi="Times New Roman"/>
    </w:rPr>
  </w:style>
  <w:style w:type="character" w:customStyle="1" w:styleId="27">
    <w:name w:val="页眉 Char"/>
    <w:basedOn w:val="21"/>
    <w:link w:val="13"/>
    <w:qFormat/>
    <w:locked/>
    <w:uiPriority w:val="99"/>
    <w:rPr>
      <w:rFonts w:cs="Times New Roman"/>
      <w:sz w:val="18"/>
      <w:szCs w:val="18"/>
    </w:rPr>
  </w:style>
  <w:style w:type="character" w:customStyle="1" w:styleId="28">
    <w:name w:val="页脚 Char"/>
    <w:basedOn w:val="21"/>
    <w:link w:val="12"/>
    <w:qFormat/>
    <w:locked/>
    <w:uiPriority w:val="99"/>
    <w:rPr>
      <w:rFonts w:cs="Times New Roman"/>
      <w:sz w:val="18"/>
      <w:szCs w:val="18"/>
    </w:rPr>
  </w:style>
  <w:style w:type="character" w:customStyle="1" w:styleId="29">
    <w:name w:val="批注框文本 Char"/>
    <w:basedOn w:val="21"/>
    <w:link w:val="11"/>
    <w:semiHidden/>
    <w:qFormat/>
    <w:locked/>
    <w:uiPriority w:val="99"/>
    <w:rPr>
      <w:rFonts w:cs="Times New Roman"/>
      <w:sz w:val="18"/>
      <w:szCs w:val="18"/>
    </w:rPr>
  </w:style>
  <w:style w:type="character" w:customStyle="1" w:styleId="30">
    <w:name w:val="批注文字 Char"/>
    <w:basedOn w:val="21"/>
    <w:link w:val="7"/>
    <w:semiHidden/>
    <w:qFormat/>
    <w:locked/>
    <w:uiPriority w:val="99"/>
    <w:rPr>
      <w:rFonts w:cs="Times New Roman"/>
    </w:rPr>
  </w:style>
  <w:style w:type="character" w:customStyle="1" w:styleId="31">
    <w:name w:val="批注主题 Char"/>
    <w:basedOn w:val="30"/>
    <w:link w:val="18"/>
    <w:semiHidden/>
    <w:qFormat/>
    <w:locked/>
    <w:uiPriority w:val="99"/>
    <w:rPr>
      <w:rFonts w:cs="Times New Roman"/>
      <w:b/>
      <w:bCs/>
    </w:rPr>
  </w:style>
  <w:style w:type="paragraph" w:styleId="32">
    <w:name w:val="List Paragraph"/>
    <w:basedOn w:val="1"/>
    <w:qFormat/>
    <w:uiPriority w:val="34"/>
    <w:pPr>
      <w:ind w:firstLine="420" w:firstLineChars="200"/>
    </w:pPr>
  </w:style>
  <w:style w:type="paragraph" w:customStyle="1" w:styleId="33">
    <w:name w:val="修订1"/>
    <w:hidden/>
    <w:semiHidden/>
    <w:qFormat/>
    <w:uiPriority w:val="99"/>
    <w:rPr>
      <w:rFonts w:ascii="Calibri" w:hAnsi="Calibri" w:eastAsia="宋体" w:cs="Times New Roman"/>
      <w:kern w:val="2"/>
      <w:sz w:val="21"/>
      <w:szCs w:val="22"/>
      <w:lang w:val="en-US" w:eastAsia="zh-CN" w:bidi="ar-SA"/>
    </w:rPr>
  </w:style>
  <w:style w:type="paragraph" w:customStyle="1" w:styleId="34">
    <w:name w:val="_Style 22"/>
    <w:basedOn w:val="1"/>
    <w:next w:val="32"/>
    <w:qFormat/>
    <w:uiPriority w:val="99"/>
    <w:pPr>
      <w:ind w:firstLine="420" w:firstLineChars="200"/>
    </w:pPr>
    <w:rPr>
      <w:szCs w:val="24"/>
    </w:rPr>
  </w:style>
  <w:style w:type="character" w:customStyle="1" w:styleId="35">
    <w:name w:val="cur"/>
    <w:qFormat/>
    <w:uiPriority w:val="99"/>
    <w:rPr>
      <w:b/>
    </w:rPr>
  </w:style>
  <w:style w:type="character" w:customStyle="1" w:styleId="36">
    <w:name w:val="标题 1 Char"/>
    <w:basedOn w:val="21"/>
    <w:link w:val="2"/>
    <w:qFormat/>
    <w:uiPriority w:val="0"/>
    <w:rPr>
      <w:b/>
      <w:bCs/>
      <w:kern w:val="44"/>
      <w:sz w:val="44"/>
      <w:szCs w:val="44"/>
    </w:rPr>
  </w:style>
  <w:style w:type="paragraph" w:customStyle="1" w:styleId="3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标题 2 Char"/>
    <w:basedOn w:val="21"/>
    <w:link w:val="3"/>
    <w:qFormat/>
    <w:uiPriority w:val="0"/>
    <w:rPr>
      <w:rFonts w:asciiTheme="majorHAnsi" w:hAnsiTheme="majorHAnsi" w:eastAsiaTheme="majorEastAsia" w:cstheme="majorBidi"/>
      <w:b/>
      <w:bCs/>
      <w:sz w:val="32"/>
      <w:szCs w:val="32"/>
    </w:rPr>
  </w:style>
  <w:style w:type="character" w:customStyle="1" w:styleId="39">
    <w:name w:val="日期 Char"/>
    <w:basedOn w:val="21"/>
    <w:link w:val="10"/>
    <w:semiHidden/>
    <w:qFormat/>
    <w:uiPriority w:val="99"/>
    <w:rPr>
      <w:rFonts w:ascii="Calibri" w:hAnsi="Calibri"/>
      <w:kern w:val="2"/>
      <w:sz w:val="21"/>
      <w:szCs w:val="22"/>
    </w:rPr>
  </w:style>
  <w:style w:type="character" w:customStyle="1" w:styleId="40">
    <w:name w:val="脚注文本 Char"/>
    <w:basedOn w:val="21"/>
    <w:link w:val="15"/>
    <w:semiHidden/>
    <w:qFormat/>
    <w:uiPriority w:val="99"/>
    <w:rPr>
      <w:rFonts w:ascii="Calibri" w:hAnsi="Calibri"/>
      <w:kern w:val="2"/>
      <w:sz w:val="18"/>
      <w:szCs w:val="18"/>
    </w:rPr>
  </w:style>
  <w:style w:type="paragraph" w:customStyle="1" w:styleId="41">
    <w:name w:val="修订2"/>
    <w:hidden/>
    <w:unhideWhenUsed/>
    <w:qFormat/>
    <w:uiPriority w:val="99"/>
    <w:rPr>
      <w:rFonts w:ascii="Calibri" w:hAnsi="Calibri" w:eastAsia="宋体" w:cs="Times New Roman"/>
      <w:kern w:val="2"/>
      <w:sz w:val="21"/>
      <w:szCs w:val="22"/>
      <w:lang w:val="en-US" w:eastAsia="zh-CN" w:bidi="ar-SA"/>
    </w:rPr>
  </w:style>
  <w:style w:type="paragraph" w:customStyle="1" w:styleId="42">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3">
    <w:name w:val="TOC 标题3"/>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4">
    <w:name w:val="修订3"/>
    <w:hidden/>
    <w:unhideWhenUsed/>
    <w:qFormat/>
    <w:uiPriority w:val="99"/>
    <w:rPr>
      <w:rFonts w:ascii="Calibri" w:hAnsi="Calibri" w:eastAsia="宋体" w:cs="Times New Roman"/>
      <w:kern w:val="2"/>
      <w:sz w:val="21"/>
      <w:szCs w:val="22"/>
      <w:lang w:val="en-US" w:eastAsia="zh-CN" w:bidi="ar-SA"/>
    </w:rPr>
  </w:style>
  <w:style w:type="paragraph" w:customStyle="1" w:styleId="45">
    <w:name w:val="修订4"/>
    <w:hidden/>
    <w:unhideWhenUsed/>
    <w:qFormat/>
    <w:uiPriority w:val="99"/>
    <w:rPr>
      <w:rFonts w:ascii="Calibri" w:hAnsi="Calibri" w:eastAsia="宋体" w:cs="Times New Roman"/>
      <w:kern w:val="2"/>
      <w:sz w:val="21"/>
      <w:szCs w:val="22"/>
      <w:lang w:val="en-US" w:eastAsia="zh-CN" w:bidi="ar-SA"/>
    </w:rPr>
  </w:style>
  <w:style w:type="paragraph" w:customStyle="1" w:styleId="46">
    <w:name w:val="修订5"/>
    <w:hidden/>
    <w:unhideWhenUsed/>
    <w:qFormat/>
    <w:uiPriority w:val="99"/>
    <w:rPr>
      <w:rFonts w:ascii="Calibri" w:hAnsi="Calibri" w:eastAsia="宋体" w:cs="Times New Roman"/>
      <w:kern w:val="2"/>
      <w:sz w:val="21"/>
      <w:szCs w:val="22"/>
      <w:lang w:val="en-US" w:eastAsia="zh-CN" w:bidi="ar-SA"/>
    </w:rPr>
  </w:style>
  <w:style w:type="paragraph" w:customStyle="1" w:styleId="47">
    <w:name w:val="修订6"/>
    <w:hidden/>
    <w:unhideWhenUsed/>
    <w:qFormat/>
    <w:uiPriority w:val="99"/>
    <w:rPr>
      <w:rFonts w:ascii="Calibri" w:hAnsi="Calibri" w:eastAsia="宋体" w:cs="Times New Roman"/>
      <w:kern w:val="2"/>
      <w:sz w:val="21"/>
      <w:szCs w:val="22"/>
      <w:lang w:val="en-US" w:eastAsia="zh-CN" w:bidi="ar-SA"/>
    </w:rPr>
  </w:style>
  <w:style w:type="character" w:customStyle="1" w:styleId="48">
    <w:name w:val="文档结构图 Char"/>
    <w:basedOn w:val="21"/>
    <w:link w:val="6"/>
    <w:semiHidden/>
    <w:qFormat/>
    <w:uiPriority w:val="99"/>
    <w:rPr>
      <w:rFonts w:ascii="宋体" w:hAnsi="Calibri"/>
      <w:kern w:val="2"/>
      <w:sz w:val="18"/>
      <w:szCs w:val="18"/>
    </w:rPr>
  </w:style>
  <w:style w:type="paragraph" w:customStyle="1" w:styleId="49">
    <w:name w:val="修订7"/>
    <w:hidden/>
    <w:unhideWhenUsed/>
    <w:qFormat/>
    <w:uiPriority w:val="99"/>
    <w:rPr>
      <w:rFonts w:ascii="Calibri" w:hAnsi="Calibri" w:eastAsia="宋体" w:cs="Times New Roman"/>
      <w:kern w:val="2"/>
      <w:sz w:val="21"/>
      <w:szCs w:val="22"/>
      <w:lang w:val="en-US" w:eastAsia="zh-CN" w:bidi="ar-SA"/>
    </w:rPr>
  </w:style>
  <w:style w:type="paragraph" w:customStyle="1" w:styleId="50">
    <w:name w:val="修订8"/>
    <w:hidden/>
    <w:semiHidden/>
    <w:qFormat/>
    <w:uiPriority w:val="99"/>
    <w:rPr>
      <w:rFonts w:ascii="Calibri" w:hAnsi="Calibri" w:eastAsia="宋体" w:cs="Times New Roman"/>
      <w:kern w:val="2"/>
      <w:sz w:val="21"/>
      <w:szCs w:val="22"/>
      <w:lang w:val="en-US" w:eastAsia="zh-CN" w:bidi="ar-SA"/>
    </w:rPr>
  </w:style>
  <w:style w:type="paragraph" w:customStyle="1" w:styleId="51">
    <w:name w:val="修订9"/>
    <w:hidden/>
    <w:semiHidden/>
    <w:qFormat/>
    <w:uiPriority w:val="99"/>
    <w:rPr>
      <w:rFonts w:ascii="Calibri" w:hAnsi="Calibri" w:eastAsia="宋体" w:cs="Times New Roman"/>
      <w:kern w:val="2"/>
      <w:sz w:val="21"/>
      <w:szCs w:val="22"/>
      <w:lang w:val="en-US" w:eastAsia="zh-CN" w:bidi="ar-SA"/>
    </w:rPr>
  </w:style>
  <w:style w:type="paragraph" w:customStyle="1" w:styleId="52">
    <w:name w:val="TOC 标题4"/>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5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0" Type="http://schemas.openxmlformats.org/officeDocument/2006/relationships/fontTable" Target="fontTable.xml"/><Relationship Id="rId6" Type="http://schemas.openxmlformats.org/officeDocument/2006/relationships/footer" Target="footer3.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48.jpeg"/><Relationship Id="rId56" Type="http://schemas.openxmlformats.org/officeDocument/2006/relationships/image" Target="media/image47.jpeg"/><Relationship Id="rId55" Type="http://schemas.openxmlformats.org/officeDocument/2006/relationships/image" Target="media/image46.jpe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footer" Target="footer2.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jpeg"/><Relationship Id="rId26" Type="http://schemas.openxmlformats.org/officeDocument/2006/relationships/image" Target="media/image17.pn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68</Pages>
  <Words>6455</Words>
  <Characters>36797</Characters>
  <Lines>306</Lines>
  <Paragraphs>86</Paragraphs>
  <TotalTime>4</TotalTime>
  <ScaleCrop>false</ScaleCrop>
  <LinksUpToDate>false</LinksUpToDate>
  <CharactersWithSpaces>43166</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2023-03-22T16:53:00Z</dcterms:created>
  <dc:creator>Liaoqw</dc:creator>
  <cp:lastModifiedBy>ht-706</cp:lastModifiedBy>
  <cp:lastPrinted>2023-03-17T23:04:00Z</cp:lastPrinted>
  <dcterms:modified xsi:type="dcterms:W3CDTF">2023-03-28T09:41:27Z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6EA2800D48FA43889F5C0547DD08DAEE</vt:lpwstr>
  </property>
</Properties>
</file>