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2"/>
        <w:tblW w:w="14040" w:type="dxa"/>
        <w:tblInd w:w="93" w:type="dxa"/>
        <w:tblLayout w:type="autofit"/>
        <w:tblCellMar>
          <w:top w:w="0" w:type="dxa"/>
          <w:left w:w="108" w:type="dxa"/>
          <w:bottom w:w="0" w:type="dxa"/>
          <w:right w:w="108" w:type="dxa"/>
        </w:tblCellMar>
      </w:tblPr>
      <w:tblGrid>
        <w:gridCol w:w="567"/>
        <w:gridCol w:w="698"/>
        <w:gridCol w:w="1646"/>
        <w:gridCol w:w="7854"/>
        <w:gridCol w:w="3275"/>
      </w:tblGrid>
      <w:tr w14:paraId="199C458C">
        <w:tblPrEx>
          <w:tblCellMar>
            <w:top w:w="0" w:type="dxa"/>
            <w:left w:w="108" w:type="dxa"/>
            <w:bottom w:w="0" w:type="dxa"/>
            <w:right w:w="108" w:type="dxa"/>
          </w:tblCellMar>
        </w:tblPrEx>
        <w:trPr>
          <w:trHeight w:val="1110" w:hRule="atLeast"/>
        </w:trPr>
        <w:tc>
          <w:tcPr>
            <w:tcW w:w="14040" w:type="dxa"/>
            <w:gridSpan w:val="5"/>
            <w:tcBorders>
              <w:top w:val="nil"/>
              <w:left w:val="nil"/>
              <w:bottom w:val="nil"/>
              <w:right w:val="nil"/>
            </w:tcBorders>
            <w:shd w:val="clear" w:color="auto" w:fill="auto"/>
            <w:vAlign w:val="center"/>
          </w:tcPr>
          <w:p w14:paraId="15C69CBE">
            <w:pPr>
              <w:widowControl/>
              <w:jc w:val="center"/>
              <w:rPr>
                <w:rFonts w:ascii="黑体" w:hAnsi="黑体" w:eastAsia="黑体" w:cs="宋体"/>
                <w:color w:val="000000"/>
                <w:kern w:val="0"/>
                <w:sz w:val="32"/>
                <w:szCs w:val="32"/>
              </w:rPr>
            </w:pPr>
            <w:bookmarkStart w:id="0" w:name="_GoBack"/>
            <w:bookmarkEnd w:id="0"/>
            <w:r>
              <w:rPr>
                <w:rFonts w:hint="eastAsia" w:ascii="黑体" w:hAnsi="黑体" w:eastAsia="黑体" w:cs="宋体"/>
                <w:color w:val="000000"/>
                <w:kern w:val="0"/>
                <w:sz w:val="32"/>
                <w:szCs w:val="32"/>
              </w:rPr>
              <w:t>《广州市房屋租赁合同网上备案规则（修订稿）》公众意见初步采纳情况表</w:t>
            </w:r>
          </w:p>
        </w:tc>
      </w:tr>
      <w:tr w14:paraId="66567BE2">
        <w:tblPrEx>
          <w:tblCellMar>
            <w:top w:w="0" w:type="dxa"/>
            <w:left w:w="108" w:type="dxa"/>
            <w:bottom w:w="0" w:type="dxa"/>
            <w:right w:w="108" w:type="dxa"/>
          </w:tblCellMar>
        </w:tblPrEx>
        <w:trPr>
          <w:trHeight w:val="865" w:hRule="atLeast"/>
        </w:trPr>
        <w:tc>
          <w:tcPr>
            <w:tcW w:w="567" w:type="dxa"/>
            <w:tcBorders>
              <w:top w:val="single" w:color="auto" w:sz="4" w:space="0"/>
              <w:left w:val="single" w:color="auto" w:sz="4" w:space="0"/>
              <w:bottom w:val="single" w:color="auto" w:sz="4" w:space="0"/>
              <w:right w:val="single" w:color="auto" w:sz="4" w:space="0"/>
            </w:tcBorders>
            <w:shd w:val="clear" w:color="auto" w:fill="auto"/>
            <w:vAlign w:val="center"/>
          </w:tcPr>
          <w:p w14:paraId="53A4E6AD">
            <w:pPr>
              <w:widowControl/>
              <w:jc w:val="center"/>
              <w:rPr>
                <w:rFonts w:ascii="宋体" w:hAnsi="宋体" w:cs="宋体"/>
                <w:b/>
                <w:color w:val="000000"/>
                <w:kern w:val="0"/>
                <w:sz w:val="22"/>
              </w:rPr>
            </w:pPr>
            <w:r>
              <w:rPr>
                <w:rFonts w:hint="eastAsia" w:ascii="宋体" w:hAnsi="宋体" w:cs="宋体"/>
                <w:b/>
                <w:color w:val="000000"/>
                <w:kern w:val="0"/>
                <w:sz w:val="22"/>
              </w:rPr>
              <w:t>序号</w:t>
            </w:r>
          </w:p>
        </w:tc>
        <w:tc>
          <w:tcPr>
            <w:tcW w:w="698" w:type="dxa"/>
            <w:tcBorders>
              <w:top w:val="single" w:color="auto" w:sz="4" w:space="0"/>
              <w:left w:val="nil"/>
              <w:bottom w:val="single" w:color="auto" w:sz="4" w:space="0"/>
              <w:right w:val="single" w:color="auto" w:sz="4" w:space="0"/>
            </w:tcBorders>
            <w:shd w:val="clear" w:color="auto" w:fill="auto"/>
            <w:vAlign w:val="center"/>
          </w:tcPr>
          <w:p w14:paraId="561BB79E">
            <w:pPr>
              <w:widowControl/>
              <w:jc w:val="center"/>
              <w:rPr>
                <w:rFonts w:ascii="宋体" w:hAnsi="宋体" w:cs="宋体"/>
                <w:b/>
                <w:color w:val="000000"/>
                <w:kern w:val="0"/>
                <w:sz w:val="22"/>
              </w:rPr>
            </w:pPr>
            <w:r>
              <w:rPr>
                <w:rFonts w:hint="eastAsia" w:ascii="宋体" w:hAnsi="宋体" w:cs="宋体"/>
                <w:b/>
                <w:color w:val="000000"/>
                <w:kern w:val="0"/>
                <w:sz w:val="22"/>
              </w:rPr>
              <w:t>对应章节</w:t>
            </w:r>
          </w:p>
        </w:tc>
        <w:tc>
          <w:tcPr>
            <w:tcW w:w="1646" w:type="dxa"/>
            <w:tcBorders>
              <w:top w:val="single" w:color="auto" w:sz="4" w:space="0"/>
              <w:left w:val="nil"/>
              <w:bottom w:val="single" w:color="auto" w:sz="4" w:space="0"/>
              <w:right w:val="single" w:color="auto" w:sz="4" w:space="0"/>
            </w:tcBorders>
            <w:shd w:val="clear" w:color="auto" w:fill="auto"/>
            <w:vAlign w:val="center"/>
          </w:tcPr>
          <w:p w14:paraId="01F79932">
            <w:pPr>
              <w:widowControl/>
              <w:jc w:val="center"/>
              <w:rPr>
                <w:rFonts w:ascii="宋体" w:hAnsi="宋体" w:cs="宋体"/>
                <w:b/>
                <w:color w:val="000000"/>
                <w:kern w:val="0"/>
                <w:sz w:val="22"/>
              </w:rPr>
            </w:pPr>
            <w:r>
              <w:rPr>
                <w:rFonts w:hint="eastAsia" w:ascii="宋体" w:hAnsi="宋体" w:cs="宋体"/>
                <w:b/>
                <w:color w:val="000000"/>
                <w:kern w:val="0"/>
                <w:sz w:val="22"/>
              </w:rPr>
              <w:t>意见来源</w:t>
            </w:r>
          </w:p>
        </w:tc>
        <w:tc>
          <w:tcPr>
            <w:tcW w:w="7854" w:type="dxa"/>
            <w:tcBorders>
              <w:top w:val="single" w:color="auto" w:sz="4" w:space="0"/>
              <w:left w:val="nil"/>
              <w:bottom w:val="single" w:color="auto" w:sz="4" w:space="0"/>
              <w:right w:val="single" w:color="auto" w:sz="4" w:space="0"/>
            </w:tcBorders>
            <w:shd w:val="clear" w:color="auto" w:fill="auto"/>
            <w:vAlign w:val="center"/>
          </w:tcPr>
          <w:p w14:paraId="7F5D241E">
            <w:pPr>
              <w:widowControl/>
              <w:jc w:val="center"/>
              <w:rPr>
                <w:rFonts w:ascii="宋体" w:hAnsi="宋体" w:cs="宋体"/>
                <w:b/>
                <w:color w:val="000000"/>
                <w:kern w:val="0"/>
                <w:sz w:val="22"/>
              </w:rPr>
            </w:pPr>
            <w:r>
              <w:rPr>
                <w:rFonts w:hint="eastAsia" w:ascii="宋体" w:hAnsi="宋体" w:cs="宋体"/>
                <w:b/>
                <w:color w:val="000000"/>
                <w:kern w:val="0"/>
                <w:sz w:val="22"/>
              </w:rPr>
              <w:t>意见</w:t>
            </w:r>
          </w:p>
        </w:tc>
        <w:tc>
          <w:tcPr>
            <w:tcW w:w="3275" w:type="dxa"/>
            <w:tcBorders>
              <w:top w:val="single" w:color="auto" w:sz="4" w:space="0"/>
              <w:left w:val="nil"/>
              <w:bottom w:val="single" w:color="auto" w:sz="4" w:space="0"/>
              <w:right w:val="single" w:color="auto" w:sz="4" w:space="0"/>
            </w:tcBorders>
            <w:shd w:val="clear" w:color="auto" w:fill="auto"/>
            <w:vAlign w:val="center"/>
          </w:tcPr>
          <w:p w14:paraId="63198741">
            <w:pPr>
              <w:widowControl/>
              <w:jc w:val="center"/>
              <w:rPr>
                <w:rFonts w:ascii="宋体" w:hAnsi="宋体" w:cs="宋体"/>
                <w:b/>
                <w:color w:val="000000"/>
                <w:kern w:val="0"/>
                <w:sz w:val="22"/>
              </w:rPr>
            </w:pPr>
            <w:r>
              <w:rPr>
                <w:rFonts w:hint="eastAsia" w:ascii="宋体" w:hAnsi="宋体" w:cs="宋体"/>
                <w:b/>
                <w:color w:val="000000"/>
                <w:kern w:val="0"/>
                <w:sz w:val="22"/>
              </w:rPr>
              <w:t>采纳情况及理由</w:t>
            </w:r>
          </w:p>
          <w:p w14:paraId="202DE419">
            <w:pPr>
              <w:widowControl/>
              <w:jc w:val="center"/>
              <w:rPr>
                <w:rFonts w:ascii="宋体" w:hAnsi="宋体" w:cs="宋体"/>
                <w:b/>
                <w:color w:val="000000"/>
                <w:kern w:val="0"/>
                <w:sz w:val="22"/>
              </w:rPr>
            </w:pPr>
            <w:r>
              <w:rPr>
                <w:rFonts w:hint="eastAsia" w:ascii="宋体" w:hAnsi="宋体" w:cs="宋体"/>
                <w:b/>
                <w:color w:val="000000"/>
                <w:kern w:val="0"/>
                <w:sz w:val="22"/>
              </w:rPr>
              <w:t>（采纳不需要说明理由）</w:t>
            </w:r>
          </w:p>
        </w:tc>
      </w:tr>
      <w:tr w14:paraId="6F526ED4">
        <w:tblPrEx>
          <w:tblCellMar>
            <w:top w:w="0" w:type="dxa"/>
            <w:left w:w="108" w:type="dxa"/>
            <w:bottom w:w="0" w:type="dxa"/>
            <w:right w:w="108" w:type="dxa"/>
          </w:tblCellMar>
        </w:tblPrEx>
        <w:trPr>
          <w:trHeight w:val="210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3B3930C9">
            <w:pPr>
              <w:widowControl/>
              <w:jc w:val="center"/>
              <w:rPr>
                <w:rFonts w:ascii="宋体" w:hAnsi="宋体" w:cs="宋体"/>
                <w:color w:val="000000"/>
                <w:kern w:val="0"/>
                <w:sz w:val="22"/>
              </w:rPr>
            </w:pPr>
            <w:r>
              <w:rPr>
                <w:rFonts w:hint="eastAsia" w:ascii="宋体" w:hAnsi="宋体" w:cs="宋体"/>
                <w:color w:val="000000"/>
                <w:kern w:val="0"/>
                <w:sz w:val="22"/>
              </w:rPr>
              <w:t>1</w:t>
            </w:r>
          </w:p>
        </w:tc>
        <w:tc>
          <w:tcPr>
            <w:tcW w:w="698" w:type="dxa"/>
            <w:tcBorders>
              <w:top w:val="nil"/>
              <w:left w:val="nil"/>
              <w:bottom w:val="single" w:color="auto" w:sz="4" w:space="0"/>
              <w:right w:val="single" w:color="auto" w:sz="4" w:space="0"/>
            </w:tcBorders>
            <w:shd w:val="clear" w:color="auto" w:fill="auto"/>
            <w:vAlign w:val="center"/>
          </w:tcPr>
          <w:p w14:paraId="5C5408A9">
            <w:pPr>
              <w:widowControl/>
              <w:jc w:val="left"/>
              <w:rPr>
                <w:rFonts w:ascii="宋体" w:hAnsi="宋体" w:cs="宋体"/>
                <w:color w:val="000000"/>
                <w:kern w:val="0"/>
                <w:sz w:val="22"/>
              </w:rPr>
            </w:pPr>
          </w:p>
        </w:tc>
        <w:tc>
          <w:tcPr>
            <w:tcW w:w="1646" w:type="dxa"/>
            <w:tcBorders>
              <w:top w:val="nil"/>
              <w:left w:val="nil"/>
              <w:bottom w:val="single" w:color="auto" w:sz="4" w:space="0"/>
              <w:right w:val="single" w:color="auto" w:sz="4" w:space="0"/>
            </w:tcBorders>
            <w:shd w:val="clear" w:color="auto" w:fill="auto"/>
            <w:vAlign w:val="center"/>
          </w:tcPr>
          <w:p w14:paraId="22C2E133">
            <w:pPr>
              <w:widowControl/>
              <w:jc w:val="left"/>
              <w:rPr>
                <w:rFonts w:ascii="宋体" w:hAnsi="宋体" w:cs="宋体"/>
                <w:color w:val="000000"/>
                <w:kern w:val="0"/>
                <w:sz w:val="22"/>
              </w:rPr>
            </w:pPr>
            <w:r>
              <w:rPr>
                <w:rFonts w:hint="eastAsia" w:ascii="宋体" w:hAnsi="宋体" w:cs="宋体"/>
                <w:color w:val="000000"/>
                <w:kern w:val="0"/>
                <w:sz w:val="22"/>
              </w:rPr>
              <w:t>172.36.23.201</w:t>
            </w:r>
          </w:p>
        </w:tc>
        <w:tc>
          <w:tcPr>
            <w:tcW w:w="7854" w:type="dxa"/>
            <w:tcBorders>
              <w:top w:val="nil"/>
              <w:left w:val="nil"/>
              <w:bottom w:val="single" w:color="auto" w:sz="4" w:space="0"/>
              <w:right w:val="single" w:color="auto" w:sz="4" w:space="0"/>
            </w:tcBorders>
            <w:shd w:val="clear" w:color="auto" w:fill="auto"/>
          </w:tcPr>
          <w:p w14:paraId="58E421AC">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请把有以下任一行为的出租人、租赁企业、经纪机构、酒店公寓和民宿等企业或个人二三手房东，纳入诚信系统：</w:t>
            </w:r>
          </w:p>
          <w:p w14:paraId="2CA39E6E">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 xml:space="preserve"> 1.收房后，收房人不即时向广州市房屋租赁信息服务平台上传房屋租赁合同和托管合同等材料，收房人纳入诚信系统；</w:t>
            </w:r>
          </w:p>
          <w:p w14:paraId="3DC94ADC">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 xml:space="preserve"> 2.二三手房东转租没有房源核验码的房屋，纳入诚信系统；</w:t>
            </w:r>
          </w:p>
          <w:p w14:paraId="4A69B7DD">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 xml:space="preserve"> 3.房屋转租后不申请租赁备案的，转租人和经纪人纳入诚信系统；</w:t>
            </w:r>
          </w:p>
          <w:p w14:paraId="53CDC3D9">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 xml:space="preserve"> 4.个人二房东和中介通过微信租房群和朋友圈等渠道，发布没有房源核验码的房屋出租信息的，纳入诚信系统。</w:t>
            </w:r>
          </w:p>
        </w:tc>
        <w:tc>
          <w:tcPr>
            <w:tcW w:w="3275" w:type="dxa"/>
            <w:tcBorders>
              <w:top w:val="nil"/>
              <w:left w:val="nil"/>
              <w:bottom w:val="single" w:color="auto" w:sz="4" w:space="0"/>
              <w:right w:val="single" w:color="auto" w:sz="4" w:space="0"/>
            </w:tcBorders>
            <w:shd w:val="clear" w:color="auto" w:fill="auto"/>
          </w:tcPr>
          <w:p w14:paraId="534F558D">
            <w:pPr>
              <w:widowControl/>
              <w:jc w:val="left"/>
              <w:rPr>
                <w:rFonts w:hint="eastAsia" w:ascii="宋体" w:hAnsi="宋体" w:cs="宋体"/>
                <w:color w:val="000000"/>
                <w:kern w:val="0"/>
                <w:sz w:val="22"/>
              </w:rPr>
            </w:pPr>
            <w:r>
              <w:rPr>
                <w:rFonts w:hint="eastAsia" w:ascii="宋体" w:hAnsi="宋体" w:cs="宋体"/>
                <w:color w:val="000000"/>
                <w:kern w:val="0"/>
                <w:sz w:val="22"/>
              </w:rPr>
              <w:t>部分采纳。</w:t>
            </w:r>
          </w:p>
          <w:p w14:paraId="228599AE">
            <w:pPr>
              <w:widowControl/>
              <w:jc w:val="left"/>
              <w:rPr>
                <w:rFonts w:ascii="宋体" w:hAnsi="宋体" w:cs="宋体"/>
                <w:color w:val="000000"/>
                <w:kern w:val="0"/>
                <w:sz w:val="22"/>
              </w:rPr>
            </w:pPr>
            <w:r>
              <w:rPr>
                <w:rFonts w:hint="eastAsia" w:ascii="宋体" w:hAnsi="宋体" w:cs="宋体"/>
                <w:color w:val="000000"/>
                <w:kern w:val="0"/>
                <w:sz w:val="22"/>
              </w:rPr>
              <w:t>理由：1.酒店公寓和民宿的经营管理不在本规则的适用范围。2.如何纳入诚信系统将另行制定文件进行规范。3.本文相关规定对转租（二三手房东）同样适用。</w:t>
            </w:r>
          </w:p>
        </w:tc>
      </w:tr>
      <w:tr w14:paraId="02611A84">
        <w:tblPrEx>
          <w:tblCellMar>
            <w:top w:w="0" w:type="dxa"/>
            <w:left w:w="108" w:type="dxa"/>
            <w:bottom w:w="0" w:type="dxa"/>
            <w:right w:w="108" w:type="dxa"/>
          </w:tblCellMar>
        </w:tblPrEx>
        <w:trPr>
          <w:trHeight w:val="693"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96893FE">
            <w:pPr>
              <w:widowControl/>
              <w:jc w:val="center"/>
              <w:rPr>
                <w:rFonts w:ascii="宋体" w:hAnsi="宋体" w:cs="宋体"/>
                <w:color w:val="000000"/>
                <w:kern w:val="0"/>
                <w:sz w:val="22"/>
              </w:rPr>
            </w:pPr>
            <w:r>
              <w:rPr>
                <w:rFonts w:hint="eastAsia" w:ascii="宋体" w:hAnsi="宋体" w:cs="宋体"/>
                <w:color w:val="000000"/>
                <w:kern w:val="0"/>
                <w:sz w:val="22"/>
              </w:rPr>
              <w:t>2</w:t>
            </w:r>
          </w:p>
        </w:tc>
        <w:tc>
          <w:tcPr>
            <w:tcW w:w="698" w:type="dxa"/>
            <w:tcBorders>
              <w:top w:val="nil"/>
              <w:left w:val="nil"/>
              <w:bottom w:val="single" w:color="auto" w:sz="4" w:space="0"/>
              <w:right w:val="single" w:color="auto" w:sz="4" w:space="0"/>
            </w:tcBorders>
            <w:shd w:val="clear" w:color="auto" w:fill="auto"/>
            <w:vAlign w:val="center"/>
          </w:tcPr>
          <w:p w14:paraId="549C406E">
            <w:pPr>
              <w:widowControl/>
              <w:jc w:val="left"/>
              <w:rPr>
                <w:rFonts w:ascii="宋体" w:hAnsi="宋体" w:cs="宋体"/>
                <w:color w:val="000000"/>
                <w:kern w:val="0"/>
                <w:sz w:val="22"/>
              </w:rPr>
            </w:pPr>
            <w:r>
              <w:rPr>
                <w:rFonts w:hint="eastAsia" w:ascii="宋体" w:hAnsi="宋体" w:cs="宋体"/>
                <w:color w:val="000000"/>
                <w:kern w:val="0"/>
                <w:sz w:val="22"/>
              </w:rPr>
              <w:t>第</w:t>
            </w:r>
          </w:p>
          <w:p w14:paraId="704A55E3">
            <w:pPr>
              <w:widowControl/>
              <w:jc w:val="left"/>
              <w:rPr>
                <w:rFonts w:ascii="宋体" w:hAnsi="宋体" w:cs="宋体"/>
                <w:color w:val="000000"/>
                <w:kern w:val="0"/>
                <w:sz w:val="22"/>
              </w:rPr>
            </w:pPr>
            <w:r>
              <w:rPr>
                <w:rFonts w:hint="eastAsia" w:ascii="宋体" w:hAnsi="宋体" w:cs="宋体"/>
                <w:color w:val="000000"/>
                <w:kern w:val="0"/>
                <w:sz w:val="22"/>
              </w:rPr>
              <w:t>六</w:t>
            </w:r>
          </w:p>
          <w:p w14:paraId="56E728AA">
            <w:pPr>
              <w:widowControl/>
              <w:jc w:val="left"/>
              <w:rPr>
                <w:rFonts w:ascii="宋体" w:hAnsi="宋体" w:cs="宋体"/>
                <w:color w:val="000000"/>
                <w:kern w:val="0"/>
                <w:sz w:val="22"/>
              </w:rPr>
            </w:pPr>
            <w:r>
              <w:rPr>
                <w:rFonts w:hint="eastAsia" w:ascii="宋体" w:hAnsi="宋体" w:cs="宋体"/>
                <w:color w:val="000000"/>
                <w:kern w:val="0"/>
                <w:sz w:val="22"/>
              </w:rPr>
              <w:t>条</w:t>
            </w:r>
          </w:p>
        </w:tc>
        <w:tc>
          <w:tcPr>
            <w:tcW w:w="1646" w:type="dxa"/>
            <w:tcBorders>
              <w:top w:val="nil"/>
              <w:left w:val="nil"/>
              <w:bottom w:val="single" w:color="auto" w:sz="4" w:space="0"/>
              <w:right w:val="single" w:color="auto" w:sz="4" w:space="0"/>
            </w:tcBorders>
            <w:shd w:val="clear" w:color="auto" w:fill="auto"/>
            <w:vAlign w:val="center"/>
          </w:tcPr>
          <w:p w14:paraId="67594645">
            <w:pPr>
              <w:widowControl/>
              <w:jc w:val="left"/>
              <w:rPr>
                <w:rFonts w:ascii="宋体" w:hAnsi="宋体" w:cs="宋体"/>
                <w:color w:val="000000"/>
                <w:kern w:val="0"/>
                <w:sz w:val="22"/>
              </w:rPr>
            </w:pPr>
            <w:r>
              <w:rPr>
                <w:rFonts w:hint="eastAsia" w:ascii="宋体" w:hAnsi="宋体" w:cs="宋体"/>
                <w:color w:val="000000"/>
                <w:kern w:val="0"/>
                <w:sz w:val="22"/>
              </w:rPr>
              <w:t>121.8.227.159</w:t>
            </w:r>
          </w:p>
        </w:tc>
        <w:tc>
          <w:tcPr>
            <w:tcW w:w="7854" w:type="dxa"/>
            <w:tcBorders>
              <w:top w:val="nil"/>
              <w:left w:val="nil"/>
              <w:bottom w:val="single" w:color="auto" w:sz="4" w:space="0"/>
              <w:right w:val="single" w:color="auto" w:sz="4" w:space="0"/>
            </w:tcBorders>
            <w:shd w:val="clear" w:color="auto" w:fill="auto"/>
          </w:tcPr>
          <w:p w14:paraId="6BC86C80">
            <w:pPr>
              <w:widowControl/>
              <w:spacing w:after="240"/>
              <w:ind w:firstLine="440" w:firstLineChars="200"/>
              <w:jc w:val="left"/>
              <w:rPr>
                <w:rFonts w:ascii="宋体" w:hAnsi="宋体" w:cs="宋体"/>
                <w:color w:val="000000"/>
                <w:kern w:val="0"/>
                <w:sz w:val="22"/>
              </w:rPr>
            </w:pPr>
            <w:r>
              <w:rPr>
                <w:rFonts w:hint="eastAsia" w:ascii="宋体" w:hAnsi="宋体" w:cs="宋体"/>
                <w:color w:val="000000"/>
                <w:kern w:val="0"/>
                <w:sz w:val="22"/>
              </w:rPr>
              <w:t>第六条 出租人、住房租赁企业、房地产经纪机构以及其他具有租赁经营范围的机构对外出租房屋的，应当通过广州市房屋租赁信息服务平台核实房源信息，并上传房屋合法来源资料、产权人身份证明、房屋租赁合同、托管合同等材料。</w:t>
            </w:r>
            <w:r>
              <w:rPr>
                <w:rFonts w:hint="eastAsia" w:ascii="宋体" w:hAnsi="宋体" w:cs="宋体"/>
                <w:color w:val="000000"/>
                <w:kern w:val="0"/>
                <w:sz w:val="22"/>
              </w:rPr>
              <w:br w:type="textWrapping"/>
            </w:r>
            <w:r>
              <w:rPr>
                <w:rFonts w:hint="eastAsia" w:ascii="宋体" w:hAnsi="宋体" w:cs="宋体"/>
                <w:color w:val="000000"/>
                <w:kern w:val="0"/>
                <w:sz w:val="22"/>
              </w:rPr>
              <w:t xml:space="preserve">    出租人、住房租赁企业以及房地产经纪机构以及其他具有租赁经营范围的机构对所发布的房源信息的真实性、合法性负责。</w:t>
            </w:r>
            <w:r>
              <w:rPr>
                <w:rFonts w:hint="eastAsia" w:ascii="宋体" w:hAnsi="宋体" w:cs="宋体"/>
                <w:color w:val="000000"/>
                <w:kern w:val="0"/>
                <w:sz w:val="22"/>
              </w:rPr>
              <w:br w:type="textWrapping"/>
            </w:r>
            <w:r>
              <w:rPr>
                <w:rFonts w:hint="eastAsia" w:ascii="宋体" w:hAnsi="宋体" w:cs="宋体"/>
                <w:color w:val="000000"/>
                <w:kern w:val="0"/>
                <w:sz w:val="22"/>
              </w:rPr>
              <w:t>建议：</w:t>
            </w:r>
            <w:r>
              <w:rPr>
                <w:rFonts w:hint="eastAsia" w:ascii="宋体" w:hAnsi="宋体" w:cs="宋体"/>
                <w:color w:val="000000"/>
                <w:kern w:val="0"/>
                <w:sz w:val="22"/>
              </w:rPr>
              <w:br w:type="textWrapping"/>
            </w:r>
            <w:r>
              <w:rPr>
                <w:rFonts w:hint="eastAsia" w:ascii="宋体" w:hAnsi="宋体" w:cs="宋体"/>
                <w:color w:val="000000"/>
                <w:kern w:val="0"/>
                <w:sz w:val="22"/>
              </w:rPr>
              <w:t xml:space="preserve">    1.出租人、住房租赁企业以及房地产经纪机构以及其他具有租赁经营范围的机构对所发布的房源信息应该公示核验码，以便让承租人确认房源真实性。  </w:t>
            </w:r>
            <w:r>
              <w:rPr>
                <w:rFonts w:hint="eastAsia" w:ascii="宋体" w:hAnsi="宋体" w:cs="宋体"/>
                <w:color w:val="000000"/>
                <w:kern w:val="0"/>
                <w:sz w:val="22"/>
              </w:rPr>
              <w:br w:type="textWrapping"/>
            </w:r>
            <w:r>
              <w:rPr>
                <w:rFonts w:hint="eastAsia" w:ascii="宋体" w:hAnsi="宋体" w:cs="宋体"/>
                <w:color w:val="000000"/>
                <w:kern w:val="0"/>
                <w:sz w:val="22"/>
              </w:rPr>
              <w:t xml:space="preserve">    2.广州市房屋租赁信息服务平台或者其他政务平台应该提供接口让有条件的租赁平台逐步接入自动核验房源，在租赁市场稳定的情况下逐步强制核验，此后发布未经核验的房源应该要有经济上的惩罚措施。  </w:t>
            </w:r>
            <w:r>
              <w:rPr>
                <w:rFonts w:hint="eastAsia" w:ascii="宋体" w:hAnsi="宋体" w:cs="宋体"/>
                <w:color w:val="000000"/>
                <w:kern w:val="0"/>
                <w:sz w:val="22"/>
              </w:rPr>
              <w:br w:type="textWrapping"/>
            </w:r>
            <w:r>
              <w:rPr>
                <w:rFonts w:hint="eastAsia" w:ascii="宋体" w:hAnsi="宋体" w:cs="宋体"/>
                <w:color w:val="000000"/>
                <w:kern w:val="0"/>
                <w:sz w:val="22"/>
              </w:rPr>
              <w:t xml:space="preserve">    3.对某些征收住房或宅基地住房房源信息，广州市房屋租赁信息服务平台是否有能力核验和跟踪产权信息并提供核验码？  </w:t>
            </w:r>
            <w:r>
              <w:rPr>
                <w:rFonts w:hint="eastAsia" w:ascii="宋体" w:hAnsi="宋体" w:cs="宋体"/>
                <w:color w:val="000000"/>
                <w:kern w:val="0"/>
                <w:sz w:val="22"/>
              </w:rPr>
              <w:br w:type="textWrapping"/>
            </w:r>
            <w:r>
              <w:rPr>
                <w:rFonts w:hint="eastAsia" w:ascii="宋体" w:hAnsi="宋体" w:cs="宋体"/>
                <w:color w:val="000000"/>
                <w:kern w:val="0"/>
                <w:sz w:val="22"/>
              </w:rPr>
              <w:t xml:space="preserve">    4.对于需通过网络平台或者机构发布合租信息的或者二房东等无法提供房屋产权信息的，应如何发布租赁信息？    </w:t>
            </w:r>
          </w:p>
        </w:tc>
        <w:tc>
          <w:tcPr>
            <w:tcW w:w="3275" w:type="dxa"/>
            <w:tcBorders>
              <w:top w:val="nil"/>
              <w:left w:val="nil"/>
              <w:bottom w:val="single" w:color="auto" w:sz="4" w:space="0"/>
              <w:right w:val="single" w:color="auto" w:sz="4" w:space="0"/>
            </w:tcBorders>
            <w:shd w:val="clear" w:color="auto" w:fill="auto"/>
          </w:tcPr>
          <w:p w14:paraId="19AB667C">
            <w:pPr>
              <w:widowControl/>
              <w:jc w:val="left"/>
              <w:rPr>
                <w:rFonts w:ascii="宋体" w:hAnsi="宋体" w:cs="宋体"/>
                <w:color w:val="000000"/>
                <w:kern w:val="0"/>
                <w:sz w:val="22"/>
              </w:rPr>
            </w:pPr>
            <w:r>
              <w:rPr>
                <w:rFonts w:hint="eastAsia" w:ascii="宋体" w:hAnsi="宋体" w:cs="宋体"/>
                <w:color w:val="000000"/>
                <w:kern w:val="0"/>
                <w:sz w:val="22"/>
              </w:rPr>
              <w:t>部分采纳。</w:t>
            </w:r>
            <w:r>
              <w:rPr>
                <w:rFonts w:hint="eastAsia" w:ascii="宋体" w:hAnsi="宋体" w:cs="宋体"/>
                <w:color w:val="000000"/>
                <w:kern w:val="0"/>
                <w:sz w:val="22"/>
              </w:rPr>
              <w:br w:type="textWrapping"/>
            </w:r>
            <w:r>
              <w:rPr>
                <w:rFonts w:hint="eastAsia" w:ascii="宋体" w:hAnsi="宋体" w:cs="宋体"/>
                <w:color w:val="000000"/>
                <w:kern w:val="0"/>
                <w:sz w:val="22"/>
              </w:rPr>
              <w:t>理由：房屋租赁信息服务平台已实现与不动产登记有关系统对接，可核验相关信息的真实性。文中已明确规定：录入广州市房屋租赁信息服务平台并获得房源核验码的房屋信息，可以在广州市房屋租赁信息服务平台、门店现场或网络信息平台等渠道发布房源信息。</w:t>
            </w:r>
          </w:p>
        </w:tc>
      </w:tr>
      <w:tr w14:paraId="6EA2F365">
        <w:tblPrEx>
          <w:tblCellMar>
            <w:top w:w="0" w:type="dxa"/>
            <w:left w:w="108" w:type="dxa"/>
            <w:bottom w:w="0" w:type="dxa"/>
            <w:right w:w="108" w:type="dxa"/>
          </w:tblCellMar>
        </w:tblPrEx>
        <w:trPr>
          <w:trHeight w:val="2960"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BD4658B">
            <w:pPr>
              <w:widowControl/>
              <w:jc w:val="center"/>
              <w:rPr>
                <w:rFonts w:ascii="宋体" w:hAnsi="宋体" w:cs="宋体"/>
                <w:color w:val="000000"/>
                <w:kern w:val="0"/>
                <w:sz w:val="22"/>
              </w:rPr>
            </w:pPr>
            <w:r>
              <w:rPr>
                <w:rFonts w:hint="eastAsia" w:ascii="宋体" w:hAnsi="宋体" w:cs="宋体"/>
                <w:color w:val="000000"/>
                <w:kern w:val="0"/>
                <w:sz w:val="22"/>
              </w:rPr>
              <w:t>3</w:t>
            </w:r>
          </w:p>
        </w:tc>
        <w:tc>
          <w:tcPr>
            <w:tcW w:w="698" w:type="dxa"/>
            <w:tcBorders>
              <w:top w:val="nil"/>
              <w:left w:val="nil"/>
              <w:bottom w:val="single" w:color="auto" w:sz="4" w:space="0"/>
              <w:right w:val="single" w:color="auto" w:sz="4" w:space="0"/>
            </w:tcBorders>
            <w:shd w:val="clear" w:color="auto" w:fill="auto"/>
            <w:vAlign w:val="center"/>
          </w:tcPr>
          <w:p w14:paraId="14F82F26">
            <w:pPr>
              <w:widowControl/>
              <w:jc w:val="left"/>
              <w:rPr>
                <w:rFonts w:ascii="宋体" w:hAnsi="宋体" w:cs="宋体"/>
                <w:color w:val="000000"/>
                <w:kern w:val="0"/>
                <w:sz w:val="22"/>
              </w:rPr>
            </w:pPr>
          </w:p>
        </w:tc>
        <w:tc>
          <w:tcPr>
            <w:tcW w:w="1646" w:type="dxa"/>
            <w:tcBorders>
              <w:top w:val="nil"/>
              <w:left w:val="nil"/>
              <w:bottom w:val="single" w:color="auto" w:sz="4" w:space="0"/>
              <w:right w:val="single" w:color="auto" w:sz="4" w:space="0"/>
            </w:tcBorders>
            <w:shd w:val="clear" w:color="auto" w:fill="auto"/>
            <w:vAlign w:val="center"/>
          </w:tcPr>
          <w:p w14:paraId="3E510334">
            <w:pPr>
              <w:widowControl/>
              <w:jc w:val="left"/>
              <w:rPr>
                <w:rFonts w:hint="eastAsia" w:ascii="宋体" w:hAnsi="宋体" w:cs="宋体"/>
                <w:color w:val="000000"/>
                <w:kern w:val="0"/>
                <w:sz w:val="22"/>
              </w:rPr>
            </w:pPr>
            <w:r>
              <w:rPr>
                <w:rFonts w:hint="eastAsia" w:ascii="宋体" w:hAnsi="宋体" w:cs="宋体"/>
                <w:color w:val="000000"/>
                <w:kern w:val="0"/>
                <w:sz w:val="22"/>
              </w:rPr>
              <w:t>Winnie</w:t>
            </w:r>
          </w:p>
          <w:p w14:paraId="6EFA5B86">
            <w:pPr>
              <w:widowControl/>
              <w:jc w:val="left"/>
              <w:rPr>
                <w:rFonts w:ascii="宋体" w:hAnsi="宋体" w:cs="宋体"/>
                <w:color w:val="000000"/>
                <w:kern w:val="0"/>
                <w:sz w:val="22"/>
              </w:rPr>
            </w:pPr>
            <w:r>
              <w:rPr>
                <w:rFonts w:hint="eastAsia" w:ascii="宋体" w:hAnsi="宋体" w:cs="宋体"/>
                <w:color w:val="000000"/>
                <w:kern w:val="0"/>
                <w:sz w:val="22"/>
              </w:rPr>
              <w:t>(电子邮箱）</w:t>
            </w:r>
          </w:p>
        </w:tc>
        <w:tc>
          <w:tcPr>
            <w:tcW w:w="7854" w:type="dxa"/>
            <w:tcBorders>
              <w:top w:val="nil"/>
              <w:left w:val="nil"/>
              <w:bottom w:val="single" w:color="auto" w:sz="4" w:space="0"/>
              <w:right w:val="single" w:color="auto" w:sz="4" w:space="0"/>
            </w:tcBorders>
            <w:shd w:val="clear" w:color="auto" w:fill="auto"/>
          </w:tcPr>
          <w:p w14:paraId="70B0F45F">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中介和二房东都说:出租房要备案的规定之前已有，他们不上报房屋出租的信息，也没有人管，认为这次和之前一样，他们不按要求上报租房信息，同样不会受到监管！</w:t>
            </w:r>
            <w:r>
              <w:rPr>
                <w:rFonts w:hint="eastAsia" w:ascii="宋体" w:hAnsi="宋体" w:cs="宋体"/>
                <w:color w:val="000000"/>
                <w:kern w:val="0"/>
                <w:sz w:val="22"/>
              </w:rPr>
              <w:br w:type="page"/>
            </w:r>
            <w:r>
              <w:rPr>
                <w:rFonts w:hint="eastAsia" w:ascii="宋体" w:hAnsi="宋体" w:cs="宋体"/>
                <w:color w:val="000000"/>
                <w:kern w:val="0"/>
                <w:sz w:val="22"/>
              </w:rPr>
              <w:t>请贵局尽快落实和监管房屋租赁备案，维护公众的利益！特提出以下建议，请采纳。谢谢！</w:t>
            </w:r>
            <w:r>
              <w:rPr>
                <w:rFonts w:hint="eastAsia" w:ascii="宋体" w:hAnsi="宋体" w:cs="宋体"/>
                <w:color w:val="000000"/>
                <w:kern w:val="0"/>
                <w:sz w:val="22"/>
              </w:rPr>
              <w:br w:type="page"/>
            </w:r>
          </w:p>
          <w:p w14:paraId="6FBAC04C">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1.收房后，收房人不即时向广州市房屋租赁信息服务平台上传房屋租赁合同和托管合同等材料，收房人纳入诚信系统；</w:t>
            </w:r>
          </w:p>
          <w:p w14:paraId="71EFB242">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2.二三手房东转租没有房源核验码的房屋，纳入诚信系统；</w:t>
            </w:r>
          </w:p>
          <w:p w14:paraId="32F010C0">
            <w:pPr>
              <w:widowControl/>
              <w:ind w:firstLine="440" w:firstLineChars="200"/>
              <w:jc w:val="left"/>
              <w:rPr>
                <w:rFonts w:hint="eastAsia" w:ascii="宋体" w:hAnsi="宋体" w:cs="宋体"/>
                <w:color w:val="000000"/>
                <w:kern w:val="0"/>
                <w:sz w:val="22"/>
              </w:rPr>
            </w:pPr>
            <w:r>
              <w:rPr>
                <w:rFonts w:hint="eastAsia" w:ascii="宋体" w:hAnsi="宋体" w:cs="宋体"/>
                <w:color w:val="000000"/>
                <w:kern w:val="0"/>
                <w:sz w:val="22"/>
              </w:rPr>
              <w:t>3.房屋转租后不申请租赁备案的，转租人和经纪人纳入诚信系统；</w:t>
            </w:r>
          </w:p>
          <w:p w14:paraId="1E2FE0F0">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br w:type="page"/>
            </w:r>
            <w:r>
              <w:rPr>
                <w:rFonts w:hint="eastAsia" w:ascii="宋体" w:hAnsi="宋体" w:cs="宋体"/>
                <w:color w:val="000000"/>
                <w:kern w:val="0"/>
                <w:sz w:val="22"/>
              </w:rPr>
              <w:t>4.二房东和中介通过微信租房群和朋友圈等渠道，发布没有房源核验码的房屋出租信息的，纳入诚信系统。</w:t>
            </w:r>
          </w:p>
        </w:tc>
        <w:tc>
          <w:tcPr>
            <w:tcW w:w="3275" w:type="dxa"/>
            <w:tcBorders>
              <w:top w:val="nil"/>
              <w:left w:val="nil"/>
              <w:bottom w:val="single" w:color="auto" w:sz="4" w:space="0"/>
              <w:right w:val="single" w:color="auto" w:sz="4" w:space="0"/>
            </w:tcBorders>
            <w:shd w:val="clear" w:color="auto" w:fill="auto"/>
          </w:tcPr>
          <w:p w14:paraId="4F79F623">
            <w:pPr>
              <w:widowControl/>
              <w:jc w:val="left"/>
              <w:rPr>
                <w:rFonts w:hint="eastAsia" w:ascii="宋体" w:hAnsi="宋体" w:cs="宋体"/>
                <w:color w:val="000000"/>
                <w:kern w:val="0"/>
                <w:sz w:val="22"/>
              </w:rPr>
            </w:pPr>
            <w:r>
              <w:rPr>
                <w:rFonts w:hint="eastAsia" w:ascii="宋体" w:hAnsi="宋体" w:cs="宋体"/>
                <w:color w:val="000000"/>
                <w:kern w:val="0"/>
                <w:sz w:val="22"/>
              </w:rPr>
              <w:t>部分采纳。</w:t>
            </w:r>
            <w:r>
              <w:rPr>
                <w:rFonts w:hint="eastAsia" w:ascii="宋体" w:hAnsi="宋体" w:cs="宋体"/>
                <w:color w:val="000000"/>
                <w:kern w:val="0"/>
                <w:sz w:val="22"/>
              </w:rPr>
              <w:br w:type="page"/>
            </w:r>
          </w:p>
          <w:p w14:paraId="1B7A7828">
            <w:pPr>
              <w:widowControl/>
              <w:jc w:val="left"/>
              <w:rPr>
                <w:rFonts w:ascii="宋体" w:hAnsi="宋体" w:cs="宋体"/>
                <w:color w:val="000000"/>
                <w:kern w:val="0"/>
                <w:sz w:val="22"/>
              </w:rPr>
            </w:pPr>
            <w:r>
              <w:rPr>
                <w:rFonts w:hint="eastAsia" w:ascii="宋体" w:hAnsi="宋体" w:cs="宋体"/>
                <w:color w:val="000000"/>
                <w:kern w:val="0"/>
                <w:sz w:val="22"/>
              </w:rPr>
              <w:t>理由：如何纳入诚信系统将另行制定文件进行规范。本文相关规定对转租（二三手房东）同样适用。</w:t>
            </w:r>
          </w:p>
        </w:tc>
      </w:tr>
      <w:tr w14:paraId="77EB0DAF">
        <w:tblPrEx>
          <w:tblCellMar>
            <w:top w:w="0" w:type="dxa"/>
            <w:left w:w="108" w:type="dxa"/>
            <w:bottom w:w="0" w:type="dxa"/>
            <w:right w:w="108" w:type="dxa"/>
          </w:tblCellMar>
        </w:tblPrEx>
        <w:trPr>
          <w:trHeight w:val="499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235A5D10">
            <w:pPr>
              <w:widowControl/>
              <w:jc w:val="center"/>
              <w:rPr>
                <w:rFonts w:ascii="宋体" w:hAnsi="宋体" w:cs="宋体"/>
                <w:color w:val="000000"/>
                <w:kern w:val="0"/>
                <w:sz w:val="22"/>
              </w:rPr>
            </w:pPr>
            <w:r>
              <w:rPr>
                <w:rFonts w:hint="eastAsia" w:ascii="宋体" w:hAnsi="宋体" w:cs="宋体"/>
                <w:color w:val="000000"/>
                <w:kern w:val="0"/>
                <w:sz w:val="22"/>
              </w:rPr>
              <w:t>4</w:t>
            </w:r>
          </w:p>
        </w:tc>
        <w:tc>
          <w:tcPr>
            <w:tcW w:w="698" w:type="dxa"/>
            <w:tcBorders>
              <w:top w:val="nil"/>
              <w:left w:val="nil"/>
              <w:bottom w:val="single" w:color="auto" w:sz="4" w:space="0"/>
              <w:right w:val="single" w:color="auto" w:sz="4" w:space="0"/>
            </w:tcBorders>
            <w:shd w:val="clear" w:color="auto" w:fill="auto"/>
            <w:vAlign w:val="center"/>
          </w:tcPr>
          <w:p w14:paraId="0A09C9FB">
            <w:pPr>
              <w:widowControl/>
              <w:jc w:val="left"/>
              <w:rPr>
                <w:rFonts w:ascii="宋体" w:hAnsi="宋体" w:cs="宋体"/>
                <w:color w:val="000000"/>
                <w:kern w:val="0"/>
                <w:sz w:val="22"/>
              </w:rPr>
            </w:pPr>
          </w:p>
        </w:tc>
        <w:tc>
          <w:tcPr>
            <w:tcW w:w="1646" w:type="dxa"/>
            <w:tcBorders>
              <w:top w:val="nil"/>
              <w:left w:val="nil"/>
              <w:bottom w:val="single" w:color="auto" w:sz="4" w:space="0"/>
              <w:right w:val="single" w:color="auto" w:sz="4" w:space="0"/>
            </w:tcBorders>
            <w:shd w:val="clear" w:color="auto" w:fill="auto"/>
            <w:vAlign w:val="center"/>
          </w:tcPr>
          <w:p w14:paraId="671A6418">
            <w:pPr>
              <w:widowControl/>
              <w:jc w:val="left"/>
              <w:rPr>
                <w:rFonts w:hint="eastAsia" w:ascii="宋体" w:hAnsi="宋体" w:cs="宋体"/>
                <w:color w:val="000000"/>
                <w:kern w:val="0"/>
                <w:sz w:val="22"/>
              </w:rPr>
            </w:pPr>
            <w:r>
              <w:rPr>
                <w:rFonts w:hint="eastAsia" w:ascii="宋体" w:hAnsi="宋体" w:cs="宋体"/>
                <w:color w:val="000000"/>
                <w:kern w:val="0"/>
                <w:sz w:val="22"/>
              </w:rPr>
              <w:t>高志贤</w:t>
            </w:r>
          </w:p>
          <w:p w14:paraId="2FDCE48D">
            <w:pPr>
              <w:widowControl/>
              <w:jc w:val="left"/>
              <w:rPr>
                <w:rFonts w:ascii="宋体" w:hAnsi="宋体" w:cs="宋体"/>
                <w:color w:val="000000"/>
                <w:kern w:val="0"/>
                <w:sz w:val="22"/>
              </w:rPr>
            </w:pPr>
            <w:r>
              <w:rPr>
                <w:rFonts w:hint="eastAsia" w:ascii="宋体" w:hAnsi="宋体" w:cs="宋体"/>
                <w:color w:val="000000"/>
                <w:kern w:val="0"/>
                <w:sz w:val="22"/>
              </w:rPr>
              <w:t>（电子邮箱）</w:t>
            </w:r>
          </w:p>
        </w:tc>
        <w:tc>
          <w:tcPr>
            <w:tcW w:w="7854" w:type="dxa"/>
            <w:tcBorders>
              <w:top w:val="nil"/>
              <w:left w:val="nil"/>
              <w:bottom w:val="single" w:color="auto" w:sz="4" w:space="0"/>
              <w:right w:val="single" w:color="auto" w:sz="4" w:space="0"/>
            </w:tcBorders>
            <w:shd w:val="clear" w:color="auto" w:fill="auto"/>
          </w:tcPr>
          <w:p w14:paraId="51653BD6">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我是一名普通的打工人，住城中村租二手房东的房子，个人多次找房东都得不到配合，关于广州市房屋租赁合同网上备案规则 个人提出一点意见及建议：</w:t>
            </w:r>
            <w:r>
              <w:rPr>
                <w:rFonts w:hint="eastAsia" w:ascii="宋体" w:hAnsi="宋体" w:cs="宋体"/>
                <w:color w:val="000000"/>
                <w:kern w:val="0"/>
                <w:sz w:val="22"/>
              </w:rPr>
              <w:br w:type="textWrapping"/>
            </w:r>
            <w:r>
              <w:rPr>
                <w:rFonts w:hint="eastAsia" w:ascii="宋体" w:hAnsi="宋体" w:cs="宋体"/>
                <w:color w:val="000000"/>
                <w:kern w:val="0"/>
                <w:sz w:val="22"/>
              </w:rPr>
              <w:t xml:space="preserve">    1.承租人可在拿到出租人收据等证明材料后可主动提出申请备案，出租人、住房租赁企业、房地产经纪机构以及其他具有租赁经营范围的机构必须无条件配合申请备案，不得以提高租金等方式阻碍承租人备案，如有不配合可向相关部门举报，对相关不配合者进入处罚。</w:t>
            </w:r>
            <w:r>
              <w:rPr>
                <w:rFonts w:hint="eastAsia" w:ascii="宋体" w:hAnsi="宋体" w:cs="宋体"/>
                <w:color w:val="000000"/>
                <w:kern w:val="0"/>
                <w:sz w:val="22"/>
              </w:rPr>
              <w:br w:type="textWrapping"/>
            </w:r>
            <w:r>
              <w:rPr>
                <w:rFonts w:hint="eastAsia" w:ascii="宋体" w:hAnsi="宋体" w:cs="宋体"/>
                <w:color w:val="000000"/>
                <w:kern w:val="0"/>
                <w:sz w:val="22"/>
              </w:rPr>
              <w:t xml:space="preserve">    2.城中村租赁也同样需要全部登记上广州市房屋租赁信息服务平台备案。并限期登记上平台有优惠，如不登记上平台将处罚，租金不得私自涨价，如真有必要涨价需提前三个月申请并不得高于去年租金10%一年。</w:t>
            </w:r>
            <w:r>
              <w:rPr>
                <w:rFonts w:hint="eastAsia" w:ascii="宋体" w:hAnsi="宋体" w:cs="宋体"/>
                <w:color w:val="000000"/>
                <w:kern w:val="0"/>
                <w:sz w:val="22"/>
              </w:rPr>
              <w:br w:type="textWrapping"/>
            </w:r>
            <w:r>
              <w:rPr>
                <w:rFonts w:hint="eastAsia" w:ascii="宋体" w:hAnsi="宋体" w:cs="宋体"/>
                <w:color w:val="000000"/>
                <w:kern w:val="0"/>
                <w:sz w:val="22"/>
              </w:rPr>
              <w:t xml:space="preserve">    （现在二手房东很多不配合申请备案，我找房东半年都不配合，在阳光租房上没有发房源个人没办法申请备案，房东也不配合，个人真是没办法，因为还是租他的房子又不能撕破脸找他。</w:t>
            </w:r>
            <w:r>
              <w:rPr>
                <w:rFonts w:hint="eastAsia" w:ascii="宋体" w:hAnsi="宋体" w:cs="宋体"/>
                <w:color w:val="000000"/>
                <w:kern w:val="0"/>
                <w:sz w:val="22"/>
              </w:rPr>
              <w:br w:type="textWrapping"/>
            </w:r>
            <w:r>
              <w:rPr>
                <w:rFonts w:hint="eastAsia" w:ascii="宋体" w:hAnsi="宋体" w:cs="宋体"/>
                <w:color w:val="000000"/>
                <w:kern w:val="0"/>
                <w:sz w:val="22"/>
              </w:rPr>
              <w:t xml:space="preserve">    有的房东是说要交税，要把整栋楼的税让找备案的一个人承担来阻止承租人进入备案。应该由街道监督，租出去就要完成备案手续，并不得提高租金等方式来阻止备案。）个人觉得为了规范租赁市场，国家在于城中村租赁这块可以给于房东免收几年税做为主动积极配合备案的</w:t>
            </w:r>
            <w:r>
              <w:rPr>
                <w:rFonts w:hint="eastAsia" w:ascii="宋体" w:hAnsi="宋体" w:cs="宋体"/>
                <w:color w:val="000000"/>
                <w:kern w:val="0"/>
                <w:sz w:val="22"/>
                <w:lang w:eastAsia="zh-CN"/>
              </w:rPr>
              <w:t>奖励</w:t>
            </w:r>
            <w:r>
              <w:rPr>
                <w:rFonts w:hint="eastAsia" w:ascii="宋体" w:hAnsi="宋体" w:cs="宋体"/>
                <w:color w:val="000000"/>
                <w:kern w:val="0"/>
                <w:sz w:val="22"/>
              </w:rPr>
              <w:t xml:space="preserve">。  </w:t>
            </w:r>
          </w:p>
        </w:tc>
        <w:tc>
          <w:tcPr>
            <w:tcW w:w="3275" w:type="dxa"/>
            <w:tcBorders>
              <w:top w:val="nil"/>
              <w:left w:val="nil"/>
              <w:bottom w:val="single" w:color="auto" w:sz="4" w:space="0"/>
              <w:right w:val="single" w:color="auto" w:sz="4" w:space="0"/>
            </w:tcBorders>
            <w:shd w:val="clear" w:color="auto" w:fill="auto"/>
          </w:tcPr>
          <w:p w14:paraId="7A95B478">
            <w:pPr>
              <w:widowControl/>
              <w:jc w:val="left"/>
              <w:rPr>
                <w:rFonts w:ascii="宋体" w:hAnsi="宋体" w:cs="宋体"/>
                <w:color w:val="000000"/>
                <w:kern w:val="0"/>
                <w:sz w:val="22"/>
              </w:rPr>
            </w:pPr>
            <w:r>
              <w:rPr>
                <w:rFonts w:hint="eastAsia" w:ascii="宋体" w:hAnsi="宋体" w:cs="宋体"/>
                <w:color w:val="000000"/>
                <w:kern w:val="0"/>
                <w:sz w:val="22"/>
              </w:rPr>
              <w:t>部分采纳。</w:t>
            </w:r>
            <w:r>
              <w:rPr>
                <w:rFonts w:hint="eastAsia" w:ascii="宋体" w:hAnsi="宋体" w:cs="宋体"/>
                <w:color w:val="000000"/>
                <w:kern w:val="0"/>
                <w:sz w:val="22"/>
              </w:rPr>
              <w:br w:type="textWrapping"/>
            </w:r>
            <w:r>
              <w:rPr>
                <w:rFonts w:hint="eastAsia" w:ascii="宋体" w:hAnsi="宋体" w:cs="宋体"/>
                <w:color w:val="000000"/>
                <w:kern w:val="0"/>
                <w:sz w:val="22"/>
              </w:rPr>
              <w:t>理由：本规则已对租赁当事人单方办理备案作出规定。本规则适用集体土地上房屋（城中村）的房屋租赁登记备案。本规则已有对街镇工作人员加强巡查的内容。缴纳税收的内容不在本规定的调整范围。</w:t>
            </w:r>
          </w:p>
        </w:tc>
      </w:tr>
      <w:tr w14:paraId="24A55D01">
        <w:tblPrEx>
          <w:tblCellMar>
            <w:top w:w="0" w:type="dxa"/>
            <w:left w:w="108" w:type="dxa"/>
            <w:bottom w:w="0" w:type="dxa"/>
            <w:right w:w="108" w:type="dxa"/>
          </w:tblCellMar>
        </w:tblPrEx>
        <w:trPr>
          <w:trHeight w:val="172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91340F7">
            <w:pPr>
              <w:widowControl/>
              <w:jc w:val="center"/>
              <w:rPr>
                <w:rFonts w:ascii="宋体" w:hAnsi="宋体" w:cs="宋体"/>
                <w:color w:val="000000"/>
                <w:kern w:val="0"/>
                <w:sz w:val="22"/>
              </w:rPr>
            </w:pPr>
            <w:r>
              <w:rPr>
                <w:rFonts w:hint="eastAsia" w:ascii="宋体" w:hAnsi="宋体" w:cs="宋体"/>
                <w:color w:val="000000"/>
                <w:kern w:val="0"/>
                <w:sz w:val="22"/>
              </w:rPr>
              <w:t>5</w:t>
            </w:r>
          </w:p>
        </w:tc>
        <w:tc>
          <w:tcPr>
            <w:tcW w:w="698" w:type="dxa"/>
            <w:tcBorders>
              <w:top w:val="nil"/>
              <w:left w:val="nil"/>
              <w:bottom w:val="single" w:color="auto" w:sz="4" w:space="0"/>
              <w:right w:val="single" w:color="auto" w:sz="4" w:space="0"/>
            </w:tcBorders>
            <w:shd w:val="clear" w:color="auto" w:fill="auto"/>
            <w:vAlign w:val="center"/>
          </w:tcPr>
          <w:p w14:paraId="6862053A">
            <w:pPr>
              <w:widowControl/>
              <w:jc w:val="left"/>
              <w:rPr>
                <w:rFonts w:ascii="宋体" w:hAnsi="宋体" w:cs="宋体"/>
                <w:color w:val="000000"/>
                <w:kern w:val="0"/>
                <w:sz w:val="22"/>
              </w:rPr>
            </w:pPr>
          </w:p>
        </w:tc>
        <w:tc>
          <w:tcPr>
            <w:tcW w:w="1646" w:type="dxa"/>
            <w:tcBorders>
              <w:top w:val="nil"/>
              <w:left w:val="nil"/>
              <w:bottom w:val="single" w:color="auto" w:sz="4" w:space="0"/>
              <w:right w:val="single" w:color="auto" w:sz="4" w:space="0"/>
            </w:tcBorders>
            <w:shd w:val="clear" w:color="auto" w:fill="auto"/>
            <w:vAlign w:val="center"/>
          </w:tcPr>
          <w:p w14:paraId="3DCEB413">
            <w:pPr>
              <w:widowControl/>
              <w:jc w:val="left"/>
              <w:rPr>
                <w:rFonts w:ascii="宋体" w:hAnsi="宋体" w:cs="宋体"/>
                <w:color w:val="000000"/>
                <w:kern w:val="0"/>
                <w:sz w:val="22"/>
              </w:rPr>
            </w:pPr>
            <w:r>
              <w:rPr>
                <w:rFonts w:hint="eastAsia" w:ascii="宋体" w:hAnsi="宋体" w:cs="宋体"/>
                <w:color w:val="000000"/>
                <w:kern w:val="0"/>
                <w:sz w:val="22"/>
              </w:rPr>
              <w:t>172.36.23.201</w:t>
            </w:r>
          </w:p>
        </w:tc>
        <w:tc>
          <w:tcPr>
            <w:tcW w:w="7854" w:type="dxa"/>
            <w:tcBorders>
              <w:top w:val="nil"/>
              <w:left w:val="nil"/>
              <w:bottom w:val="single" w:color="auto" w:sz="4" w:space="0"/>
              <w:right w:val="single" w:color="auto" w:sz="4" w:space="0"/>
            </w:tcBorders>
            <w:shd w:val="clear" w:color="auto" w:fill="auto"/>
          </w:tcPr>
          <w:p w14:paraId="6F36455D">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执行新的《广州市房屋租赁合同网上备案规则》，房屋租赁合同进行网上备案后，租赁资金是否政府监管监控？租户的合法权益是否受到政府有力保护？</w:t>
            </w:r>
          </w:p>
        </w:tc>
        <w:tc>
          <w:tcPr>
            <w:tcW w:w="3275" w:type="dxa"/>
            <w:tcBorders>
              <w:top w:val="nil"/>
              <w:left w:val="nil"/>
              <w:bottom w:val="single" w:color="auto" w:sz="4" w:space="0"/>
              <w:right w:val="single" w:color="auto" w:sz="4" w:space="0"/>
            </w:tcBorders>
            <w:shd w:val="clear" w:color="auto" w:fill="auto"/>
          </w:tcPr>
          <w:p w14:paraId="614ACCEA">
            <w:pPr>
              <w:widowControl/>
              <w:jc w:val="left"/>
              <w:rPr>
                <w:rFonts w:ascii="宋体" w:hAnsi="宋体" w:cs="宋体"/>
                <w:color w:val="000000"/>
                <w:kern w:val="0"/>
                <w:sz w:val="22"/>
              </w:rPr>
            </w:pPr>
            <w:r>
              <w:rPr>
                <w:rFonts w:hint="eastAsia" w:ascii="宋体" w:hAnsi="宋体" w:cs="宋体"/>
                <w:color w:val="000000"/>
                <w:kern w:val="0"/>
                <w:sz w:val="22"/>
              </w:rPr>
              <w:t>不采纳。</w:t>
            </w:r>
            <w:r>
              <w:rPr>
                <w:rFonts w:hint="eastAsia" w:ascii="宋体" w:hAnsi="宋体" w:cs="宋体"/>
                <w:color w:val="000000"/>
                <w:kern w:val="0"/>
                <w:sz w:val="22"/>
              </w:rPr>
              <w:br w:type="page"/>
            </w:r>
            <w:r>
              <w:rPr>
                <w:rFonts w:hint="eastAsia" w:ascii="宋体" w:hAnsi="宋体" w:cs="宋体"/>
                <w:color w:val="000000"/>
                <w:kern w:val="0"/>
                <w:sz w:val="22"/>
              </w:rPr>
              <w:t>理由：本规则是规范房屋租赁备案管理的文件，不涉及后续履行合同租金监管。租金监管相关的文件将以其他文件形式出台。</w:t>
            </w:r>
          </w:p>
        </w:tc>
      </w:tr>
      <w:tr w14:paraId="1EA0205F">
        <w:tblPrEx>
          <w:tblCellMar>
            <w:top w:w="0" w:type="dxa"/>
            <w:left w:w="108" w:type="dxa"/>
            <w:bottom w:w="0" w:type="dxa"/>
            <w:right w:w="108" w:type="dxa"/>
          </w:tblCellMar>
        </w:tblPrEx>
        <w:trPr>
          <w:trHeight w:val="1275" w:hRule="atLeast"/>
        </w:trPr>
        <w:tc>
          <w:tcPr>
            <w:tcW w:w="567" w:type="dxa"/>
            <w:tcBorders>
              <w:top w:val="nil"/>
              <w:left w:val="single" w:color="auto" w:sz="4" w:space="0"/>
              <w:bottom w:val="single" w:color="auto" w:sz="4" w:space="0"/>
              <w:right w:val="single" w:color="auto" w:sz="4" w:space="0"/>
            </w:tcBorders>
            <w:shd w:val="clear" w:color="auto" w:fill="auto"/>
            <w:vAlign w:val="center"/>
          </w:tcPr>
          <w:p w14:paraId="5DE04213">
            <w:pPr>
              <w:widowControl/>
              <w:jc w:val="center"/>
              <w:rPr>
                <w:rFonts w:ascii="宋体" w:hAnsi="宋体" w:cs="宋体"/>
                <w:color w:val="000000"/>
                <w:kern w:val="0"/>
                <w:sz w:val="22"/>
              </w:rPr>
            </w:pPr>
            <w:r>
              <w:rPr>
                <w:rFonts w:hint="eastAsia" w:ascii="宋体" w:hAnsi="宋体" w:cs="宋体"/>
                <w:color w:val="000000"/>
                <w:kern w:val="0"/>
                <w:sz w:val="22"/>
              </w:rPr>
              <w:t>6</w:t>
            </w:r>
          </w:p>
        </w:tc>
        <w:tc>
          <w:tcPr>
            <w:tcW w:w="698" w:type="dxa"/>
            <w:tcBorders>
              <w:top w:val="nil"/>
              <w:left w:val="nil"/>
              <w:bottom w:val="single" w:color="auto" w:sz="4" w:space="0"/>
              <w:right w:val="single" w:color="auto" w:sz="4" w:space="0"/>
            </w:tcBorders>
            <w:shd w:val="clear" w:color="auto" w:fill="auto"/>
            <w:vAlign w:val="center"/>
          </w:tcPr>
          <w:p w14:paraId="70216653">
            <w:pPr>
              <w:widowControl/>
              <w:jc w:val="left"/>
              <w:rPr>
                <w:rFonts w:ascii="宋体" w:hAnsi="宋体" w:cs="宋体"/>
                <w:color w:val="000000"/>
                <w:kern w:val="0"/>
                <w:sz w:val="22"/>
              </w:rPr>
            </w:pPr>
            <w:r>
              <w:rPr>
                <w:rFonts w:hint="eastAsia" w:ascii="宋体" w:hAnsi="宋体" w:cs="宋体"/>
                <w:color w:val="000000"/>
                <w:kern w:val="0"/>
                <w:sz w:val="22"/>
              </w:rPr>
              <w:t>第十四条</w:t>
            </w:r>
          </w:p>
        </w:tc>
        <w:tc>
          <w:tcPr>
            <w:tcW w:w="1646" w:type="dxa"/>
            <w:tcBorders>
              <w:top w:val="nil"/>
              <w:left w:val="nil"/>
              <w:bottom w:val="single" w:color="auto" w:sz="4" w:space="0"/>
              <w:right w:val="single" w:color="auto" w:sz="4" w:space="0"/>
            </w:tcBorders>
            <w:shd w:val="clear" w:color="auto" w:fill="auto"/>
            <w:vAlign w:val="center"/>
          </w:tcPr>
          <w:p w14:paraId="386A3B47">
            <w:pPr>
              <w:widowControl/>
              <w:jc w:val="left"/>
              <w:rPr>
                <w:rFonts w:ascii="宋体" w:hAnsi="宋体" w:cs="宋体"/>
                <w:color w:val="000000"/>
                <w:kern w:val="0"/>
                <w:sz w:val="22"/>
              </w:rPr>
            </w:pPr>
            <w:r>
              <w:rPr>
                <w:rFonts w:hint="eastAsia" w:ascii="宋体" w:hAnsi="宋体" w:cs="宋体"/>
                <w:color w:val="000000"/>
                <w:kern w:val="0"/>
                <w:sz w:val="22"/>
              </w:rPr>
              <w:t>121.8.227.159</w:t>
            </w:r>
          </w:p>
        </w:tc>
        <w:tc>
          <w:tcPr>
            <w:tcW w:w="7854" w:type="dxa"/>
            <w:tcBorders>
              <w:top w:val="nil"/>
              <w:left w:val="nil"/>
              <w:bottom w:val="single" w:color="auto" w:sz="4" w:space="0"/>
              <w:right w:val="single" w:color="auto" w:sz="4" w:space="0"/>
            </w:tcBorders>
            <w:shd w:val="clear" w:color="auto" w:fill="auto"/>
          </w:tcPr>
          <w:p w14:paraId="43AB6D99">
            <w:pPr>
              <w:widowControl/>
              <w:ind w:firstLine="440" w:firstLineChars="200"/>
              <w:jc w:val="left"/>
              <w:rPr>
                <w:rFonts w:ascii="宋体" w:hAnsi="宋体" w:cs="宋体"/>
                <w:color w:val="000000"/>
                <w:kern w:val="0"/>
                <w:sz w:val="22"/>
              </w:rPr>
            </w:pPr>
            <w:r>
              <w:rPr>
                <w:rFonts w:hint="eastAsia" w:ascii="宋体" w:hAnsi="宋体" w:cs="宋体"/>
                <w:color w:val="000000"/>
                <w:kern w:val="0"/>
                <w:sz w:val="22"/>
              </w:rPr>
              <w:t xml:space="preserve">第十四条 出租人、住房租赁企业以及房地产经纪机构等弄虚作假录入虚假房屋租赁信息等不良行为应纳入诚信系统。  </w:t>
            </w:r>
            <w:r>
              <w:rPr>
                <w:rFonts w:hint="eastAsia" w:ascii="宋体" w:hAnsi="宋体" w:cs="宋体"/>
                <w:color w:val="000000"/>
                <w:kern w:val="0"/>
                <w:sz w:val="22"/>
              </w:rPr>
              <w:br w:type="textWrapping"/>
            </w:r>
            <w:r>
              <w:rPr>
                <w:rFonts w:hint="eastAsia" w:ascii="宋体" w:hAnsi="宋体" w:cs="宋体"/>
                <w:color w:val="000000"/>
                <w:kern w:val="0"/>
                <w:sz w:val="22"/>
              </w:rPr>
              <w:t xml:space="preserve">    建议：部分租赁企业和经纪机构注销再注册成本不高，除纳入诚信系统外应加大经济上的处罚力度。</w:t>
            </w:r>
          </w:p>
        </w:tc>
        <w:tc>
          <w:tcPr>
            <w:tcW w:w="3275" w:type="dxa"/>
            <w:tcBorders>
              <w:top w:val="nil"/>
              <w:left w:val="nil"/>
              <w:bottom w:val="single" w:color="auto" w:sz="4" w:space="0"/>
              <w:right w:val="single" w:color="auto" w:sz="4" w:space="0"/>
            </w:tcBorders>
            <w:shd w:val="clear" w:color="auto" w:fill="auto"/>
          </w:tcPr>
          <w:p w14:paraId="1CCAD373">
            <w:pPr>
              <w:widowControl/>
              <w:jc w:val="left"/>
              <w:rPr>
                <w:rFonts w:ascii="宋体" w:hAnsi="宋体" w:cs="宋体"/>
                <w:color w:val="000000"/>
                <w:kern w:val="0"/>
                <w:sz w:val="22"/>
              </w:rPr>
            </w:pPr>
            <w:r>
              <w:rPr>
                <w:rFonts w:hint="eastAsia" w:ascii="宋体" w:hAnsi="宋体" w:cs="宋体"/>
                <w:color w:val="000000"/>
                <w:kern w:val="0"/>
                <w:sz w:val="22"/>
              </w:rPr>
              <w:t>不采纳。</w:t>
            </w:r>
            <w:r>
              <w:rPr>
                <w:rFonts w:hint="eastAsia" w:ascii="宋体" w:hAnsi="宋体" w:cs="宋体"/>
                <w:color w:val="000000"/>
                <w:kern w:val="0"/>
                <w:sz w:val="22"/>
              </w:rPr>
              <w:br w:type="textWrapping"/>
            </w:r>
            <w:r>
              <w:rPr>
                <w:rFonts w:hint="eastAsia" w:ascii="宋体" w:hAnsi="宋体" w:cs="宋体"/>
                <w:color w:val="000000"/>
                <w:kern w:val="0"/>
                <w:sz w:val="22"/>
              </w:rPr>
              <w:t>理由：规范性文件不能设定罚则，难以实现“加大经济上的处罚力度”。</w:t>
            </w:r>
          </w:p>
        </w:tc>
      </w:tr>
    </w:tbl>
    <w:p w14:paraId="2BBA6695"/>
    <w:sectPr>
      <w:pgSz w:w="16840" w:h="11907" w:orient="landscape"/>
      <w:pgMar w:top="1418" w:right="1134" w:bottom="709" w:left="1134"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dlZDgzZWMyOGE2ZTFhNDI4YjliOTY1NGY1M2U5MzcifQ=="/>
  </w:docVars>
  <w:rsids>
    <w:rsidRoot w:val="004D6765"/>
    <w:rsid w:val="004D6765"/>
    <w:rsid w:val="00EE79C5"/>
    <w:rsid w:val="51420E3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3</Pages>
  <Words>2067</Words>
  <Characters>2139</Characters>
  <Lines>16</Lines>
  <Paragraphs>4</Paragraphs>
  <TotalTime>2</TotalTime>
  <ScaleCrop>false</ScaleCrop>
  <LinksUpToDate>false</LinksUpToDate>
  <CharactersWithSpaces>2200</CharactersWithSpaces>
  <Application>WPS Office_12.1.0.17827_F1E327BC-269C-435d-A152-05C5408002CA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2021-06-25T03:31:00Z</dcterms:created>
  <dc:creator>信息中心/信息管理部02/梁海珊</dc:creator>
  <cp:lastModifiedBy>文妈</cp:lastModifiedBy>
  <dcterms:modified xsi:type="dcterms:W3CDTF">2024-08-19T07:23:33Z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2052-12.1.0.17827</vt:lpwstr>
  </property>
  <property fmtid="{D5CDD505-2E9C-101B-9397-08002B2CF9AE}" pid="3" name="ICV">
    <vt:lpwstr>1880A7846F6D428795FDC20F05692D7C_12</vt:lpwstr>
  </property>
</Properties>
</file>