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3A715">
      <w:pPr>
        <w:spacing w:line="360" w:lineRule="auto"/>
        <w:ind w:firstLine="0" w:firstLineChars="0"/>
        <w:rPr>
          <w:rFonts w:hint="eastAsia" w:ascii="黑体" w:hAnsi="黑体" w:eastAsia="黑体" w:cs="Times New Roman"/>
          <w:sz w:val="44"/>
          <w:szCs w:val="44"/>
        </w:rPr>
      </w:pPr>
      <w:bookmarkStart w:id="0" w:name="_Toc2736"/>
    </w:p>
    <w:p w14:paraId="05A6D18A">
      <w:pPr>
        <w:spacing w:line="360" w:lineRule="auto"/>
        <w:ind w:firstLine="0" w:firstLineChars="0"/>
        <w:rPr>
          <w:rFonts w:hint="eastAsia" w:ascii="黑体" w:hAnsi="黑体" w:eastAsia="黑体" w:cs="Times New Roman"/>
          <w:sz w:val="44"/>
          <w:szCs w:val="44"/>
        </w:rPr>
      </w:pPr>
    </w:p>
    <w:p w14:paraId="350AFA4F">
      <w:pPr>
        <w:spacing w:line="360" w:lineRule="auto"/>
        <w:ind w:firstLine="0" w:firstLineChars="0"/>
        <w:rPr>
          <w:rFonts w:hint="eastAsia" w:ascii="黑体" w:hAnsi="黑体" w:eastAsia="黑体" w:cs="Times New Roman"/>
          <w:sz w:val="44"/>
          <w:szCs w:val="44"/>
        </w:rPr>
      </w:pPr>
    </w:p>
    <w:p w14:paraId="149A1188">
      <w:pPr>
        <w:spacing w:line="360" w:lineRule="auto"/>
        <w:ind w:firstLine="0" w:firstLineChars="0"/>
        <w:rPr>
          <w:rFonts w:hint="eastAsia" w:ascii="黑体" w:hAnsi="黑体" w:eastAsia="黑体" w:cs="Times New Roman"/>
          <w:sz w:val="44"/>
          <w:szCs w:val="44"/>
        </w:rPr>
      </w:pPr>
    </w:p>
    <w:p w14:paraId="4048C78C">
      <w:pPr>
        <w:spacing w:line="360" w:lineRule="auto"/>
        <w:ind w:firstLine="0" w:firstLineChars="0"/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广州市工程勘察安全监管系统</w:t>
      </w:r>
    </w:p>
    <w:p w14:paraId="0A55ED4F">
      <w:pPr>
        <w:spacing w:line="360" w:lineRule="auto"/>
        <w:ind w:firstLine="0" w:firstLineChars="0"/>
        <w:jc w:val="center"/>
        <w:rPr>
          <w:rFonts w:hint="eastAsia" w:ascii="黑体" w:hAnsi="黑体" w:eastAsia="黑体" w:cs="Times New Roman"/>
          <w:sz w:val="30"/>
          <w:szCs w:val="30"/>
        </w:rPr>
      </w:pPr>
    </w:p>
    <w:p w14:paraId="322412A2">
      <w:pPr>
        <w:spacing w:line="360" w:lineRule="auto"/>
        <w:ind w:firstLine="0" w:firstLineChars="0"/>
        <w:jc w:val="center"/>
        <w:rPr>
          <w:rFonts w:hint="eastAsia" w:ascii="宋体" w:hAnsi="宋体" w:eastAsia="仿宋" w:cs="Times New Roman"/>
          <w:sz w:val="28"/>
          <w:szCs w:val="28"/>
        </w:rPr>
      </w:pPr>
    </w:p>
    <w:p w14:paraId="6D61DEF5">
      <w:pPr>
        <w:spacing w:line="360" w:lineRule="auto"/>
        <w:ind w:firstLine="0" w:firstLineChars="0"/>
        <w:rPr>
          <w:rFonts w:hint="eastAsia" w:ascii="黑体" w:hAnsi="黑体" w:eastAsia="黑体" w:cs="Times New Roman"/>
          <w:sz w:val="36"/>
          <w:szCs w:val="36"/>
        </w:rPr>
      </w:pPr>
    </w:p>
    <w:p w14:paraId="3BBF39EE">
      <w:pPr>
        <w:spacing w:line="360" w:lineRule="auto"/>
        <w:ind w:firstLine="0" w:firstLineChars="0"/>
        <w:jc w:val="center"/>
        <w:rPr>
          <w:rFonts w:hint="eastAsia" w:ascii="黑体" w:hAnsi="黑体" w:eastAsia="黑体" w:cs="Times New Roman"/>
          <w:sz w:val="52"/>
          <w:szCs w:val="52"/>
        </w:rPr>
      </w:pPr>
      <w:r>
        <w:rPr>
          <w:rFonts w:hint="eastAsia" w:ascii="黑体" w:hAnsi="黑体" w:eastAsia="黑体" w:cs="Times New Roman"/>
          <w:sz w:val="52"/>
          <w:szCs w:val="52"/>
        </w:rPr>
        <w:t>操作手册</w:t>
      </w:r>
    </w:p>
    <w:p w14:paraId="55FE31F6">
      <w:pPr>
        <w:spacing w:line="360" w:lineRule="auto"/>
        <w:ind w:firstLine="0" w:firstLineChars="0"/>
        <w:jc w:val="center"/>
        <w:rPr>
          <w:rFonts w:hint="eastAsia" w:ascii="黑体" w:hAnsi="黑体" w:eastAsia="黑体" w:cs="Times New Roman"/>
          <w:sz w:val="44"/>
          <w:szCs w:val="44"/>
        </w:rPr>
      </w:pPr>
    </w:p>
    <w:p w14:paraId="5D8C4C27">
      <w:pPr>
        <w:spacing w:line="360" w:lineRule="auto"/>
        <w:ind w:firstLine="0" w:firstLineChars="0"/>
        <w:rPr>
          <w:rFonts w:hint="eastAsia" w:ascii="黑体" w:hAnsi="黑体" w:eastAsia="黑体" w:cs="Times New Roman"/>
          <w:sz w:val="28"/>
          <w:szCs w:val="28"/>
        </w:rPr>
      </w:pPr>
    </w:p>
    <w:p w14:paraId="5C03AF05">
      <w:pPr>
        <w:spacing w:line="360" w:lineRule="auto"/>
        <w:ind w:firstLine="720" w:firstLineChars="200"/>
        <w:rPr>
          <w:rFonts w:hint="eastAsia" w:ascii="宋体" w:hAnsi="宋体" w:cs="宋体"/>
          <w:sz w:val="36"/>
          <w:szCs w:val="36"/>
          <w:lang w:bidi="ar"/>
        </w:rPr>
      </w:pPr>
      <w:r>
        <w:rPr>
          <w:rFonts w:hint="eastAsia" w:ascii="宋体" w:hAnsi="宋体" w:cs="宋体"/>
          <w:sz w:val="36"/>
          <w:szCs w:val="36"/>
          <w:lang w:bidi="ar"/>
        </w:rPr>
        <w:br w:type="page"/>
      </w:r>
    </w:p>
    <w:sdt>
      <w:sdtPr>
        <w:rPr>
          <w:rFonts w:eastAsia="宋体" w:asciiTheme="minorHAnsi" w:hAnsiTheme="minorHAnsi" w:cstheme="minorBidi"/>
          <w:color w:val="000000" w:themeColor="text1"/>
          <w:kern w:val="2"/>
          <w:sz w:val="28"/>
          <w:szCs w:val="24"/>
          <w:lang w:val="zh-CN" w:eastAsia="zh-CN" w:bidi="ar-SA"/>
          <w14:textFill>
            <w14:solidFill>
              <w14:schemeClr w14:val="tx1"/>
            </w14:solidFill>
          </w14:textFill>
        </w:rPr>
        <w:id w:val="147481546"/>
      </w:sdtPr>
      <w:sdtEndPr>
        <w:rPr>
          <w:rFonts w:hint="eastAsia" w:ascii="方正仿宋_GB2312" w:hAnsi="方正仿宋_GB2312" w:eastAsia="方正仿宋_GB2312" w:cs="方正仿宋_GB2312"/>
          <w:b/>
          <w:bCs/>
          <w:color w:val="auto"/>
          <w:kern w:val="2"/>
          <w:sz w:val="28"/>
          <w:szCs w:val="28"/>
          <w:lang w:val="zh-CN" w:eastAsia="zh-CN" w:bidi="ar-SA"/>
        </w:rPr>
      </w:sdtEndPr>
      <w:sdtContent>
        <w:sdt>
          <w:sdtPr>
            <w:rPr>
              <w:rFonts w:ascii="宋体" w:hAnsi="宋体" w:eastAsia="宋体" w:cs="Calibri"/>
              <w:kern w:val="2"/>
              <w:sz w:val="21"/>
              <w:szCs w:val="24"/>
              <w:lang w:val="en-US" w:eastAsia="zh-CN" w:bidi="ar-SA"/>
            </w:rPr>
            <w:id w:val="147463231"/>
            <w15:color w:val="DBDBDB"/>
            <w:docPartObj>
              <w:docPartGallery w:val="Table of Contents"/>
              <w:docPartUnique/>
            </w:docPartObj>
          </w:sdtPr>
          <w:sdtEndPr>
            <w:rPr>
              <w:rFonts w:hint="eastAsia" w:ascii="方正仿宋_GB2312" w:hAnsi="方正仿宋_GB2312" w:eastAsia="方正仿宋_GB2312" w:cs="方正仿宋_GB2312"/>
              <w:kern w:val="2"/>
              <w:sz w:val="28"/>
              <w:szCs w:val="28"/>
              <w:lang w:val="en-US" w:eastAsia="zh-CN" w:bidi="ar-SA"/>
            </w:rPr>
          </w:sdtEndPr>
          <w:sdtContent>
            <w:p w14:paraId="279D2BC2">
              <w:pPr>
                <w:spacing w:before="0" w:beforeLines="0" w:after="0" w:afterLines="0" w:line="240" w:lineRule="auto"/>
                <w:ind w:left="0" w:leftChars="0" w:right="0" w:rightChars="0" w:firstLine="0" w:firstLineChars="0"/>
                <w:jc w:val="center"/>
                <w:rPr>
                  <w:b/>
                  <w:bCs/>
                  <w:sz w:val="36"/>
                  <w:szCs w:val="44"/>
                </w:rPr>
              </w:pPr>
              <w:r>
                <w:rPr>
                  <w:rFonts w:ascii="宋体" w:hAnsi="宋体" w:eastAsia="宋体"/>
                  <w:b/>
                  <w:bCs/>
                  <w:sz w:val="36"/>
                  <w:szCs w:val="44"/>
                </w:rPr>
                <w:t>目录</w:t>
              </w:r>
            </w:p>
            <w:p w14:paraId="06B9A346">
              <w:pPr>
                <w:pStyle w:val="11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TOC \o "1-3" \h \u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_Toc1309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44"/>
                  <w:sz w:val="28"/>
                  <w:szCs w:val="28"/>
                  <w:lang w:val="en-US" w:eastAsia="zh-CN" w:bidi="ar-SA"/>
                </w:rPr>
                <w:t>1. 系统上线时间及说明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_Toc1309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1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1FB04F94">
              <w:pPr>
                <w:pStyle w:val="11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_Toc19062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44"/>
                  <w:sz w:val="28"/>
                  <w:szCs w:val="28"/>
                  <w:lang w:val="en-US" w:eastAsia="zh-CN" w:bidi="ar-SA"/>
                </w:rPr>
                <w:t>2. 访问系统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_Toc19062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1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20E1EB2B">
              <w:pPr>
                <w:pStyle w:val="11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_Toc25057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44"/>
                  <w:sz w:val="28"/>
                  <w:szCs w:val="28"/>
                  <w:lang w:val="en-US" w:eastAsia="zh-CN" w:bidi="ar-SA"/>
                </w:rPr>
                <w:t>3. 建设单位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_Toc25057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2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60E086A1">
              <w:pPr>
                <w:pStyle w:val="12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_Toc4329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3.1. 登录及说明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_Toc4329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2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7BAAF295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_Toc24802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3.1.1. 注册账号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_Toc24802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2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09F3E1A1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_Toc25335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3.1.2. 授权经办人办理事项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_Toc25335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5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1B133650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_Toc11052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3.1.3. 账号登录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_Toc11052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6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43588361">
              <w:pPr>
                <w:pStyle w:val="12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_Toc14815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3.2. 首页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_Toc14815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7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499BB76E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_Toc8131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3.2.1. 申请勘察会签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_Toc8131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7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57D92117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_Toc8274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3.2.2. 发起开工告知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_Toc8274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9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47A6F584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_Toc3937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3.2.3. 生成会签报告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_Toc3937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10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448130C6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_Toc6569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3.2.4. 查看会签报告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_Toc6569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11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1B86C984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_Toc14183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3.2.5. 施工图审查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_Toc14183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12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5B33B0AD">
              <w:pPr>
                <w:pStyle w:val="12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_Toc8095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3.3. 项目管理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_Toc8095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14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6A2EC521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_Toc32012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  <w:lang w:val="en-US" w:eastAsia="zh-CN"/>
                </w:rPr>
                <w:t>3.3.1. 发起勘察整改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_Toc32012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15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63C32052">
              <w:pPr>
                <w:pStyle w:val="12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_Toc21303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3.4. 工作事项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_Toc21303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17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23F89EE6">
              <w:pPr>
                <w:pStyle w:val="11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_Toc13133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44"/>
                  <w:sz w:val="28"/>
                  <w:szCs w:val="28"/>
                  <w:lang w:val="en-US" w:eastAsia="zh-CN" w:bidi="ar-SA"/>
                </w:rPr>
                <w:t>4. 区级监管单位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_Toc13133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18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05977922">
              <w:pPr>
                <w:pStyle w:val="12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_Toc8564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4.1. 账号建立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_Toc8564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18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0365E76C">
              <w:pPr>
                <w:pStyle w:val="12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_Toc18742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4.2. 登录及说明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_Toc18742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18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273DF9AE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_Toc25343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4.2.1. 账号登录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_Toc25343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18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13DAABEF">
              <w:pPr>
                <w:pStyle w:val="12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_Toc27500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4.3. 勘察工程项目台账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_Toc27500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19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154A1107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_Toc30206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4.3.1. 查看工程项目详情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_Toc30206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20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24F16D5C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_Toc15147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4.3.2. 查看会签报告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_Toc15147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21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7D0C1076">
              <w:pPr>
                <w:pStyle w:val="12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_Toc2983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4.4. 勘察整改项目台账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_Toc2983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22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49CDA526">
              <w:pPr>
                <w:pStyle w:val="12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_Toc3606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4.5. 勘察异常项目台账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_Toc3606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24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23D7451B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_Toc28496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4.5.1. 核实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_Toc28496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24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798C7EB7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_Toc1409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4.5.2. 查看详情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_Toc1409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26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15E16EFA">
              <w:pPr>
                <w:pStyle w:val="11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_Toc31493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44"/>
                  <w:sz w:val="28"/>
                  <w:szCs w:val="28"/>
                  <w:lang w:val="en-US" w:eastAsia="zh-CN" w:bidi="ar-SA"/>
                </w:rPr>
                <w:t>5. 市级监管单位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_Toc31493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27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316DEEDD">
              <w:pPr>
                <w:pStyle w:val="12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_Toc290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5.1. 账号建立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_Toc290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27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16876F73">
              <w:pPr>
                <w:pStyle w:val="12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_Toc19962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5.2. 登录及说明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_Toc19962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28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27EEA996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_Toc20565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5.2.1. 账号登录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_Toc20565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28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258BE85E">
              <w:pPr>
                <w:pStyle w:val="12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_Toc15178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5.3. 数据统计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_Toc15178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29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03A867F1">
              <w:pPr>
                <w:pStyle w:val="12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_Toc24138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5.4. 勘察工程项目台账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_Toc24138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30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631049BB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_Toc23518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5.4.1. 查看工程项目详情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_Toc23518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30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78FA373B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_Toc14552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5.4.2. 查看会签报告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_Toc14552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31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0516FD23">
              <w:pPr>
                <w:pStyle w:val="12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_Toc17530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5.5. 勘察整改项目台账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_Toc17530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32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65A729C3">
              <w:pPr>
                <w:pStyle w:val="12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_Toc3794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5.6. 勘察异常项目台账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_Toc3794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34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04A828AF">
              <w:pPr>
                <w:pStyle w:val="8"/>
                <w:tabs>
                  <w:tab w:val="right" w:leader="dot" w:pos="8306"/>
                </w:tabs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_Toc10559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5.6.1. 核实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_Toc10559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35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50E1DC32">
              <w:pPr>
                <w:pStyle w:val="8"/>
                <w:tabs>
                  <w:tab w:val="right" w:leader="dot" w:pos="8306"/>
                </w:tabs>
              </w:pP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HYPERLINK \l _Toc27147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bCs/>
                  <w:kern w:val="2"/>
                  <w:sz w:val="28"/>
                  <w:szCs w:val="28"/>
                  <w:lang w:val="en-US" w:eastAsia="zh-CN" w:bidi="ar-SA"/>
                </w:rPr>
                <w:t>5.6.2. 查看详情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ab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begin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instrText xml:space="preserve"> PAGEREF _Toc27147 \h </w:instrTex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separate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t>37</w:t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  <w: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  <w:fldChar w:fldCharType="end"/>
              </w:r>
            </w:p>
            <w:p w14:paraId="2DA0E82F">
              <w:pPr>
                <w:rPr>
                  <w:rFonts w:hint="eastAsia" w:ascii="方正仿宋_GB2312" w:hAnsi="方正仿宋_GB2312" w:eastAsia="方正仿宋_GB2312" w:cs="方正仿宋_GB2312"/>
                  <w:sz w:val="28"/>
                  <w:szCs w:val="28"/>
                </w:rPr>
              </w:pPr>
              <w:r>
                <w:rPr>
                  <w:rFonts w:hint="eastAsia" w:ascii="方正仿宋_GB2312" w:hAnsi="方正仿宋_GB2312" w:eastAsia="方正仿宋_GB2312" w:cs="方正仿宋_GB2312"/>
                  <w:szCs w:val="28"/>
                </w:rPr>
                <w:fldChar w:fldCharType="end"/>
              </w:r>
            </w:p>
          </w:sdtContent>
        </w:sdt>
        <w:p w14:paraId="79CCAC1B">
          <w:pPr>
            <w:spacing w:line="360" w:lineRule="auto"/>
            <w:ind w:left="0" w:leftChars="0" w:firstLine="0" w:firstLineChars="0"/>
            <w:rPr>
              <w:rFonts w:hint="eastAsia" w:ascii="方正仿宋_GB2312" w:hAnsi="方正仿宋_GB2312" w:eastAsia="方正仿宋_GB2312" w:cs="方正仿宋_GB2312"/>
              <w:sz w:val="28"/>
              <w:szCs w:val="28"/>
              <w:lang w:bidi="ar"/>
            </w:rPr>
            <w:sectPr>
              <w:headerReference r:id="rId4" w:type="first"/>
              <w:footerReference r:id="rId6" w:type="first"/>
              <w:headerReference r:id="rId3" w:type="even"/>
              <w:footerReference r:id="rId5" w:type="even"/>
              <w:pgSz w:w="11906" w:h="16838"/>
              <w:pgMar w:top="1440" w:right="1800" w:bottom="1440" w:left="1800" w:header="851" w:footer="992" w:gutter="0"/>
              <w:pgNumType w:start="1"/>
              <w:cols w:space="425" w:num="1"/>
              <w:docGrid w:type="lines" w:linePitch="312" w:charSpace="0"/>
            </w:sectPr>
          </w:pPr>
        </w:p>
      </w:sdtContent>
    </w:sdt>
    <w:bookmarkEnd w:id="0"/>
    <w:p w14:paraId="49E952A2">
      <w:pPr>
        <w:keepNext/>
        <w:keepLines/>
        <w:widowControl w:val="0"/>
        <w:numPr>
          <w:ilvl w:val="0"/>
          <w:numId w:val="2"/>
        </w:numPr>
        <w:spacing w:before="340" w:after="330" w:line="578" w:lineRule="auto"/>
        <w:ind w:left="0" w:firstLine="0" w:firstLineChars="0"/>
        <w:jc w:val="both"/>
        <w:outlineLvl w:val="0"/>
        <w:rPr>
          <w:rFonts w:hint="eastAsia" w:ascii="方正仿宋_GB2312" w:hAnsi="方正仿宋_GB2312" w:eastAsia="方正仿宋_GB2312" w:cs="方正仿宋_GB2312"/>
          <w:b/>
          <w:bCs/>
          <w:kern w:val="44"/>
          <w:sz w:val="44"/>
          <w:szCs w:val="44"/>
          <w:lang w:val="en-US" w:eastAsia="zh-CN" w:bidi="ar-SA"/>
        </w:rPr>
      </w:pPr>
      <w:bookmarkStart w:id="1" w:name="_Toc1309"/>
      <w:bookmarkStart w:id="2" w:name="_Toc13537"/>
      <w:bookmarkStart w:id="3" w:name="_Toc169596455"/>
      <w:r>
        <w:rPr>
          <w:rFonts w:hint="eastAsia" w:ascii="方正仿宋_GB2312" w:hAnsi="方正仿宋_GB2312" w:eastAsia="方正仿宋_GB2312" w:cs="方正仿宋_GB2312"/>
          <w:b/>
          <w:bCs/>
          <w:kern w:val="44"/>
          <w:sz w:val="44"/>
          <w:szCs w:val="44"/>
          <w:lang w:val="en-US" w:eastAsia="zh-CN" w:bidi="ar-SA"/>
        </w:rPr>
        <w:t>系统上线时间及说明</w:t>
      </w:r>
      <w:bookmarkEnd w:id="1"/>
      <w:bookmarkEnd w:id="2"/>
    </w:p>
    <w:p w14:paraId="5620C7E0">
      <w:pPr>
        <w:spacing w:line="360" w:lineRule="auto"/>
        <w:ind w:firstLine="562" w:firstLineChars="200"/>
        <w:rPr>
          <w:rFonts w:hint="default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lang w:val="en-US" w:eastAsia="zh-CN"/>
        </w:rPr>
        <w:t>系统试运行期：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自发文之日起至4月30日为试运行期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，企业可自行注册账号熟悉操作流程。</w:t>
      </w:r>
    </w:p>
    <w:p w14:paraId="5835FF89">
      <w:pPr>
        <w:spacing w:line="360" w:lineRule="auto"/>
        <w:ind w:firstLine="562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lang w:val="en-US" w:eastAsia="zh-CN"/>
        </w:rPr>
        <w:t>系统正式运行：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2025年5月1日起，系统正式运行，企业应按要求完成勘察会签、开工告知、生成勘察会签报告以及推送施工图审查。</w:t>
      </w:r>
      <w:bookmarkStart w:id="77" w:name="_GoBack"/>
      <w:bookmarkEnd w:id="77"/>
    </w:p>
    <w:p w14:paraId="739BC8E8">
      <w:pPr>
        <w:spacing w:line="360" w:lineRule="auto"/>
        <w:ind w:left="0" w:leftChars="0" w:firstLine="420" w:firstLineChars="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（1）对2025年5月1日前已完成工程勘察、无法生成勘察会签报告的，建设单位在“广州市施工图联合审图系统”推送施工图审查前，应上传勘察合同、带有时间的勘察记录照片等佐证材料，相关佐证材料将推送至“广州市工程勘察安全监管系统”，作为有关主管部门监管依据。</w:t>
      </w:r>
    </w:p>
    <w:p w14:paraId="5816D5A2">
      <w:pPr>
        <w:spacing w:line="360" w:lineRule="auto"/>
        <w:ind w:left="0" w:leftChars="0" w:firstLine="420" w:firstLineChars="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（2）对2025年5月1日以后完成勘察、又未按要求进行勘察会签的，建设单位登陆“广州市工程勘察安全监管系统”发起整改，对勘察安全情况进行说明，待监管部门对勘察安全情况进行确认后，系统生成勘察整改报告。建设单位在“广州市施工图联合审图系统”推送施工图审查前，选取与送审工程相匹配的勘察整改报告后，推送施工图审查。</w:t>
      </w:r>
    </w:p>
    <w:p w14:paraId="1A352914">
      <w:pPr>
        <w:keepNext/>
        <w:keepLines/>
        <w:widowControl w:val="0"/>
        <w:numPr>
          <w:ilvl w:val="0"/>
          <w:numId w:val="2"/>
        </w:numPr>
        <w:bidi w:val="0"/>
        <w:spacing w:before="340" w:after="330" w:line="578" w:lineRule="auto"/>
        <w:ind w:left="0" w:firstLine="0" w:firstLineChars="0"/>
        <w:jc w:val="both"/>
        <w:outlineLvl w:val="0"/>
        <w:rPr>
          <w:rFonts w:hint="eastAsia" w:ascii="方正仿宋_GB2312" w:hAnsi="方正仿宋_GB2312" w:eastAsia="方正仿宋_GB2312" w:cs="方正仿宋_GB2312"/>
          <w:b/>
          <w:bCs/>
          <w:kern w:val="44"/>
          <w:sz w:val="44"/>
          <w:szCs w:val="44"/>
          <w:lang w:val="en-US" w:eastAsia="zh-CN" w:bidi="ar-SA"/>
        </w:rPr>
      </w:pPr>
      <w:bookmarkStart w:id="4" w:name="_Toc19062"/>
      <w:bookmarkStart w:id="5" w:name="_Toc30578"/>
      <w:r>
        <w:rPr>
          <w:rFonts w:hint="eastAsia" w:ascii="方正仿宋_GB2312" w:hAnsi="方正仿宋_GB2312" w:eastAsia="方正仿宋_GB2312" w:cs="方正仿宋_GB2312"/>
          <w:b/>
          <w:bCs/>
          <w:kern w:val="44"/>
          <w:sz w:val="44"/>
          <w:szCs w:val="44"/>
          <w:lang w:val="en-US" w:eastAsia="zh-CN" w:bidi="ar-SA"/>
        </w:rPr>
        <w:t>访问系统</w:t>
      </w:r>
      <w:bookmarkEnd w:id="4"/>
      <w:bookmarkEnd w:id="5"/>
    </w:p>
    <w:p w14:paraId="3FED62AA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浏览器：推荐使用360极速版浏览器、Microsoft Edge浏览器、统信浏览器</w:t>
      </w:r>
    </w:p>
    <w:p w14:paraId="269FDE47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访问地址：http://zps.gzcc.gov.cn:8010/kc/login</w:t>
      </w:r>
    </w:p>
    <w:p w14:paraId="064200D9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系统登录页面如下图所示：</w:t>
      </w:r>
    </w:p>
    <w:p w14:paraId="5028328B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376545" cy="2559050"/>
            <wp:effectExtent l="0" t="0" r="8255" b="6350"/>
            <wp:docPr id="7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6545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52018">
      <w:pPr>
        <w:keepNext/>
        <w:keepLines/>
        <w:widowControl w:val="0"/>
        <w:numPr>
          <w:ilvl w:val="0"/>
          <w:numId w:val="2"/>
        </w:numPr>
        <w:spacing w:before="340" w:after="330" w:line="578" w:lineRule="auto"/>
        <w:ind w:left="0" w:firstLine="0" w:firstLineChars="0"/>
        <w:jc w:val="both"/>
        <w:outlineLvl w:val="0"/>
        <w:rPr>
          <w:rFonts w:hint="eastAsia" w:ascii="方正仿宋_GB2312" w:hAnsi="方正仿宋_GB2312" w:eastAsia="方正仿宋_GB2312" w:cs="方正仿宋_GB2312"/>
          <w:b/>
          <w:bCs/>
          <w:kern w:val="44"/>
          <w:sz w:val="44"/>
          <w:szCs w:val="44"/>
          <w:lang w:val="en-US" w:eastAsia="zh-CN" w:bidi="ar-SA"/>
        </w:rPr>
      </w:pPr>
      <w:bookmarkStart w:id="6" w:name="_Toc27988"/>
      <w:bookmarkStart w:id="7" w:name="_Toc25057"/>
      <w:r>
        <w:rPr>
          <w:rFonts w:hint="eastAsia" w:ascii="方正仿宋_GB2312" w:hAnsi="方正仿宋_GB2312" w:eastAsia="方正仿宋_GB2312" w:cs="方正仿宋_GB2312"/>
          <w:b/>
          <w:bCs/>
          <w:kern w:val="44"/>
          <w:sz w:val="44"/>
          <w:szCs w:val="44"/>
          <w:lang w:val="en-US" w:eastAsia="zh-CN" w:bidi="ar-SA"/>
        </w:rPr>
        <w:t>建设单位</w:t>
      </w:r>
      <w:bookmarkEnd w:id="6"/>
      <w:bookmarkEnd w:id="7"/>
    </w:p>
    <w:p w14:paraId="4EECE5DB">
      <w:pPr>
        <w:keepNext/>
        <w:keepLines/>
        <w:widowControl w:val="0"/>
        <w:numPr>
          <w:ilvl w:val="1"/>
          <w:numId w:val="2"/>
        </w:numPr>
        <w:spacing w:before="260" w:after="260" w:line="415" w:lineRule="auto"/>
        <w:ind w:left="0" w:leftChars="0" w:firstLine="0" w:firstLineChars="0"/>
        <w:jc w:val="both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8" w:name="_Toc4329"/>
      <w:bookmarkStart w:id="9" w:name="_Toc24994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登录及说明</w:t>
      </w:r>
      <w:bookmarkEnd w:id="3"/>
      <w:bookmarkEnd w:id="8"/>
      <w:bookmarkEnd w:id="9"/>
    </w:p>
    <w:p w14:paraId="78092EAE">
      <w:pPr>
        <w:keepNext/>
        <w:keepLines/>
        <w:widowControl w:val="0"/>
        <w:numPr>
          <w:ilvl w:val="2"/>
          <w:numId w:val="2"/>
        </w:numPr>
        <w:spacing w:after="260" w:line="415" w:lineRule="auto"/>
        <w:ind w:left="709" w:hanging="709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10" w:name="_Toc5835"/>
      <w:bookmarkStart w:id="11" w:name="_Toc24802"/>
      <w:bookmarkStart w:id="12" w:name="_Toc169596457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注册账号</w:t>
      </w:r>
      <w:bookmarkEnd w:id="10"/>
      <w:bookmarkEnd w:id="11"/>
      <w:bookmarkEnd w:id="12"/>
    </w:p>
    <w:p w14:paraId="37C10212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若用户未</w:t>
      </w:r>
      <w:r>
        <w:rPr>
          <w:rFonts w:hint="eastAsia" w:ascii="方正仿宋_GB2312" w:hAnsi="方正仿宋_GB2312" w:eastAsia="方正仿宋_GB2312" w:cs="方正仿宋_GB2312"/>
          <w:sz w:val="28"/>
        </w:rPr>
        <w:t>绑定省统一身份认证平台法人账号/个人账号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，需在省统一注册账号，操作步骤如下：</w:t>
      </w:r>
    </w:p>
    <w:p w14:paraId="68D78D53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第一步：在登录页面选择“企业登录”后，跳转至省统一身份认证平台，如下图所示：</w:t>
      </w:r>
    </w:p>
    <w:p w14:paraId="408073E7">
      <w:pPr>
        <w:spacing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4583430" cy="2169795"/>
            <wp:effectExtent l="0" t="0" r="1270" b="1905"/>
            <wp:docPr id="5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8343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29C2F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第二步：点击“账号密码”</w:t>
      </w:r>
      <w:r>
        <w:rPr>
          <w:rFonts w:hint="eastAsia" w:ascii="方正仿宋_GB2312" w:hAnsi="方正仿宋_GB2312" w:eastAsia="方正仿宋_GB2312" w:cs="方正仿宋_GB2312"/>
          <w:sz w:val="28"/>
        </w:rPr>
        <w:t>切换至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账号密码登录</w:t>
      </w:r>
      <w:r>
        <w:rPr>
          <w:rFonts w:hint="eastAsia" w:ascii="方正仿宋_GB2312" w:hAnsi="方正仿宋_GB2312" w:eastAsia="方正仿宋_GB2312" w:cs="方正仿宋_GB2312"/>
          <w:sz w:val="28"/>
        </w:rPr>
        <w:t>页面，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如下图所示：</w:t>
      </w:r>
    </w:p>
    <w:p w14:paraId="5A3BFE89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3949700" cy="4121150"/>
            <wp:effectExtent l="0" t="0" r="0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41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CEC26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第三步：</w:t>
      </w:r>
      <w:r>
        <w:rPr>
          <w:rFonts w:hint="eastAsia" w:ascii="方正仿宋_GB2312" w:hAnsi="方正仿宋_GB2312" w:eastAsia="方正仿宋_GB2312" w:cs="方正仿宋_GB2312"/>
          <w:sz w:val="28"/>
        </w:rPr>
        <w:t>点击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下方的</w:t>
      </w:r>
      <w:r>
        <w:rPr>
          <w:rFonts w:hint="eastAsia" w:ascii="方正仿宋_GB2312" w:hAnsi="方正仿宋_GB2312" w:eastAsia="方正仿宋_GB2312" w:cs="方正仿宋_GB2312"/>
          <w:sz w:val="28"/>
        </w:rPr>
        <w:t>“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立即</w:t>
      </w:r>
      <w:r>
        <w:rPr>
          <w:rFonts w:hint="eastAsia" w:ascii="方正仿宋_GB2312" w:hAnsi="方正仿宋_GB2312" w:eastAsia="方正仿宋_GB2312" w:cs="方正仿宋_GB2312"/>
          <w:sz w:val="28"/>
        </w:rPr>
        <w:t>注册”</w:t>
      </w:r>
      <w:r>
        <w:rPr>
          <w:rFonts w:hint="eastAsia" w:ascii="方正仿宋_GB2312" w:hAnsi="方正仿宋_GB2312" w:eastAsia="方正仿宋_GB2312" w:cs="方正仿宋_GB2312"/>
          <w:sz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如下图所示：</w:t>
      </w:r>
    </w:p>
    <w:p w14:paraId="4276226E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</w:p>
    <w:p w14:paraId="088D18C9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4305300" cy="4806950"/>
            <wp:effectExtent l="0" t="0" r="0" b="635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80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06B29">
      <w:pPr>
        <w:spacing w:line="360" w:lineRule="auto"/>
        <w:ind w:left="0" w:leftChars="0" w:firstLine="420" w:firstLineChars="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第四步：选择个人注册/法人注册，录入相关信息后即可完成注册，如下图所示：</w:t>
      </w:r>
    </w:p>
    <w:p w14:paraId="5235BA21">
      <w:pPr>
        <w:spacing w:line="360" w:lineRule="auto"/>
        <w:ind w:left="0" w:leftChars="0" w:firstLine="42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4752975" cy="5733415"/>
            <wp:effectExtent l="0" t="0" r="9525" b="6985"/>
            <wp:docPr id="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573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C8266">
      <w:pPr>
        <w:keepNext/>
        <w:keepLines/>
        <w:widowControl w:val="0"/>
        <w:numPr>
          <w:ilvl w:val="2"/>
          <w:numId w:val="2"/>
        </w:numPr>
        <w:spacing w:after="260" w:line="415" w:lineRule="auto"/>
        <w:ind w:left="709" w:hanging="709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13" w:name="_Toc25335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授权经办人办理事项</w:t>
      </w:r>
      <w:bookmarkEnd w:id="13"/>
    </w:p>
    <w:p w14:paraId="0D588035">
      <w:pPr>
        <w:spacing w:line="360" w:lineRule="auto"/>
        <w:ind w:left="0" w:leftChars="0" w:firstLine="420" w:firstLineChars="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在广东省统一身份认证平台后，选中“我的经办人”，点击“添加经办人”后，输入相关信息并点击添加后，待经办人账户确认绑定后，则绑定成功，后续可进行解绑或修改有效期，如下图所示：</w:t>
      </w:r>
    </w:p>
    <w:p w14:paraId="32787D18">
      <w:pPr>
        <w:pStyle w:val="2"/>
        <w:rPr>
          <w:rFonts w:hint="eastAsia"/>
          <w:lang w:val="en-US" w:eastAsia="zh-CN"/>
        </w:rPr>
      </w:pPr>
    </w:p>
    <w:p w14:paraId="5EF51FB8">
      <w:pPr>
        <w:pStyle w:val="2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4608830" cy="2468880"/>
            <wp:effectExtent l="0" t="0" r="1270" b="7620"/>
            <wp:docPr id="97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08830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45EC9">
      <w:pPr>
        <w:spacing w:line="360" w:lineRule="auto"/>
        <w:ind w:left="420" w:leftChars="0" w:firstLine="420" w:firstLineChars="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添加经办人页面如下图所示：</w:t>
      </w:r>
    </w:p>
    <w:p w14:paraId="477A3336">
      <w:pPr>
        <w:pStyle w:val="2"/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3411220" cy="3028950"/>
            <wp:effectExtent l="0" t="0" r="5080" b="6350"/>
            <wp:docPr id="98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1122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D8588">
      <w:pPr>
        <w:keepNext/>
        <w:keepLines/>
        <w:widowControl w:val="0"/>
        <w:numPr>
          <w:ilvl w:val="2"/>
          <w:numId w:val="2"/>
        </w:numPr>
        <w:spacing w:after="260" w:line="415" w:lineRule="auto"/>
        <w:ind w:left="709" w:hanging="709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14" w:name="_Toc11052"/>
      <w:bookmarkStart w:id="15" w:name="_Toc17733"/>
      <w:bookmarkStart w:id="16" w:name="_Toc169596458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账号登录</w:t>
      </w:r>
      <w:bookmarkEnd w:id="14"/>
      <w:bookmarkEnd w:id="15"/>
      <w:bookmarkEnd w:id="16"/>
    </w:p>
    <w:p w14:paraId="32867E80">
      <w:pPr>
        <w:spacing w:line="360" w:lineRule="auto"/>
        <w:ind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若用户已</w:t>
      </w:r>
      <w:r>
        <w:rPr>
          <w:rFonts w:hint="eastAsia" w:ascii="方正仿宋_GB2312" w:hAnsi="方正仿宋_GB2312" w:eastAsia="方正仿宋_GB2312" w:cs="方正仿宋_GB2312"/>
          <w:sz w:val="28"/>
        </w:rPr>
        <w:t>绑定省统一身份认证平台法人账号/个人账号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，在登录页面选择“企业登录”后，即可通过</w:t>
      </w:r>
      <w:r>
        <w:rPr>
          <w:rFonts w:hint="eastAsia" w:ascii="方正仿宋_GB2312" w:hAnsi="方正仿宋_GB2312" w:eastAsia="方正仿宋_GB2312" w:cs="方正仿宋_GB2312"/>
          <w:sz w:val="28"/>
        </w:rPr>
        <w:t>微信扫码登录</w:t>
      </w:r>
      <w:r>
        <w:rPr>
          <w:rFonts w:hint="eastAsia" w:ascii="方正仿宋_GB2312" w:hAnsi="方正仿宋_GB2312" w:eastAsia="方正仿宋_GB2312" w:cs="方正仿宋_GB2312"/>
          <w:sz w:val="28"/>
          <w:lang w:eastAsia="zh-CN"/>
        </w:rPr>
        <w:t>。</w:t>
      </w:r>
    </w:p>
    <w:p w14:paraId="262AB69B">
      <w:pPr>
        <w:spacing w:line="360" w:lineRule="auto"/>
        <w:ind w:firstLine="560" w:firstLineChars="200"/>
        <w:jc w:val="left"/>
        <w:rPr>
          <w:rFonts w:hint="eastAsia" w:ascii="方正仿宋_GB2312" w:hAnsi="方正仿宋_GB2312" w:eastAsia="方正仿宋_GB2312" w:cs="方正仿宋_GB2312"/>
          <w:color w:val="FF0000"/>
          <w:sz w:val="28"/>
        </w:rPr>
      </w:pPr>
      <w:r>
        <w:rPr>
          <w:rFonts w:hint="eastAsia" w:ascii="方正仿宋_GB2312" w:hAnsi="方正仿宋_GB2312" w:eastAsia="方正仿宋_GB2312" w:cs="方正仿宋_GB2312"/>
          <w:color w:val="FF0000"/>
          <w:sz w:val="28"/>
          <w:lang w:val="en-US" w:eastAsia="zh-CN"/>
        </w:rPr>
        <w:t>注：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</w:rPr>
        <w:t>若使用法人授权账号登录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FF0000"/>
          <w:sz w:val="28"/>
        </w:rPr>
        <w:t>需选择法人授权的“企业身份”进入该系统</w:t>
      </w:r>
    </w:p>
    <w:p w14:paraId="4D269F4E">
      <w:pPr>
        <w:spacing w:line="360" w:lineRule="auto"/>
        <w:ind w:firstLine="560" w:firstLineChars="200"/>
        <w:jc w:val="left"/>
        <w:rPr>
          <w:rFonts w:hint="eastAsia" w:ascii="方正仿宋_GB2312" w:hAnsi="方正仿宋_GB2312" w:eastAsia="方正仿宋_GB2312" w:cs="方正仿宋_GB2312"/>
          <w:color w:val="auto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lang w:val="en-US" w:eastAsia="zh-CN"/>
        </w:rPr>
        <w:t>登录页面如下图所示：</w:t>
      </w:r>
    </w:p>
    <w:p w14:paraId="7353B6E2">
      <w:pPr>
        <w:spacing w:line="360" w:lineRule="auto"/>
        <w:ind w:firstLine="560" w:firstLineChars="200"/>
        <w:jc w:val="both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4583430" cy="2169795"/>
            <wp:effectExtent l="0" t="0" r="1270" b="190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8343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CDB12">
      <w:pPr>
        <w:spacing w:line="360" w:lineRule="auto"/>
        <w:ind w:firstLine="560" w:firstLineChars="200"/>
        <w:jc w:val="both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微信扫码页面如下图所示：</w:t>
      </w:r>
    </w:p>
    <w:p w14:paraId="39389CB9">
      <w:pPr>
        <w:spacing w:line="360" w:lineRule="auto"/>
        <w:ind w:firstLine="560" w:firstLineChars="200"/>
        <w:jc w:val="center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4340860" cy="2055495"/>
            <wp:effectExtent l="0" t="0" r="2540" b="1905"/>
            <wp:docPr id="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4086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8FE63">
      <w:pPr>
        <w:keepNext/>
        <w:keepLines/>
        <w:widowControl w:val="0"/>
        <w:numPr>
          <w:ilvl w:val="1"/>
          <w:numId w:val="2"/>
        </w:numPr>
        <w:bidi w:val="0"/>
        <w:spacing w:before="260" w:after="260" w:line="415" w:lineRule="auto"/>
        <w:ind w:left="0" w:leftChars="0" w:firstLine="0" w:firstLineChars="0"/>
        <w:jc w:val="both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17" w:name="_Toc869"/>
      <w:bookmarkStart w:id="18" w:name="_Toc14815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首页</w:t>
      </w:r>
      <w:bookmarkEnd w:id="17"/>
      <w:bookmarkEnd w:id="18"/>
    </w:p>
    <w:p w14:paraId="445FE280">
      <w:pPr>
        <w:widowControl w:val="0"/>
        <w:spacing w:after="120" w:line="360" w:lineRule="auto"/>
        <w:ind w:left="0" w:leftChars="0" w:firstLine="560" w:firstLineChars="20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首页整合了勘察会签申请、开工告知发起、会签报告生成以及施工图审查业务的入口功能。用户还可以通过首页查看所属全部项目及详情，同时浏览未读和已读消息及其具体内容。</w:t>
      </w:r>
    </w:p>
    <w:p w14:paraId="7F813D92">
      <w:pPr>
        <w:pStyle w:val="2"/>
        <w:ind w:left="0" w:leftChars="0" w:firstLine="560" w:firstLineChars="0"/>
        <w:rPr>
          <w:rFonts w:hint="default"/>
          <w:color w:val="FF000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FF0000"/>
          <w:kern w:val="2"/>
          <w:sz w:val="28"/>
          <w:szCs w:val="24"/>
          <w:lang w:val="en-US" w:eastAsia="zh-CN" w:bidi="ar-SA"/>
        </w:rPr>
        <w:t>注：本系统仅作为“广州市地下管线建设管理系统”的登录入口，可允许用户直接通过“广州市地下管线建设管理系统”登录进入，不受本系统限制。</w:t>
      </w:r>
    </w:p>
    <w:p w14:paraId="380F6C88">
      <w:pPr>
        <w:keepNext/>
        <w:keepLines/>
        <w:widowControl w:val="0"/>
        <w:numPr>
          <w:ilvl w:val="2"/>
          <w:numId w:val="2"/>
        </w:numPr>
        <w:bidi w:val="0"/>
        <w:spacing w:after="260" w:line="415" w:lineRule="auto"/>
        <w:ind w:left="0" w:leftChars="0" w:firstLine="0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19" w:name="_Toc4619"/>
      <w:bookmarkStart w:id="20" w:name="_Toc8131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申请勘察会签</w:t>
      </w:r>
      <w:bookmarkEnd w:id="19"/>
      <w:bookmarkEnd w:id="20"/>
    </w:p>
    <w:p w14:paraId="6507FF85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建设单位需在“</w:t>
      </w:r>
      <w:r>
        <w:rPr>
          <w:rFonts w:hint="eastAsia" w:ascii="方正仿宋_GB2312" w:hAnsi="方正仿宋_GB2312" w:eastAsia="方正仿宋_GB2312" w:cs="方正仿宋_GB2312"/>
          <w:sz w:val="28"/>
        </w:rPr>
        <w:t>广州市地下管线建设管理系统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”发起勘察会签申请，具体操作步骤如下：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ab/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用户点击“申请会签”后，</w:t>
      </w:r>
      <w:r>
        <w:rPr>
          <w:rFonts w:hint="eastAsia" w:ascii="方正仿宋_GB2312" w:hAnsi="方正仿宋_GB2312" w:eastAsia="方正仿宋_GB2312" w:cs="方正仿宋_GB2312"/>
          <w:sz w:val="28"/>
        </w:rPr>
        <w:t>跳转至“广州市地下管线建设管理系统”申请勘察会签</w:t>
      </w:r>
      <w:r>
        <w:rPr>
          <w:rFonts w:hint="eastAsia" w:ascii="方正仿宋_GB2312" w:hAnsi="方正仿宋_GB2312" w:eastAsia="方正仿宋_GB2312" w:cs="方正仿宋_GB2312"/>
          <w:sz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如下图所示：</w:t>
      </w:r>
    </w:p>
    <w:p w14:paraId="78E19C14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767070" cy="2522855"/>
            <wp:effectExtent l="0" t="0" r="11430" b="4445"/>
            <wp:docPr id="18" name="图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707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80861">
      <w:pPr>
        <w:spacing w:line="360" w:lineRule="auto"/>
        <w:ind w:left="0" w:leftChars="0" w:firstLine="420" w:firstLineChars="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若账号未授权，需按照系统提示申请授权，如下图所示：</w:t>
      </w:r>
    </w:p>
    <w:p w14:paraId="75169170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391150" cy="2587625"/>
            <wp:effectExtent l="0" t="0" r="6350" b="317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D7A37">
      <w:pPr>
        <w:spacing w:line="360" w:lineRule="auto"/>
        <w:ind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t>若账号已授权，可直接跳转至“广州市地下管线建设管理系统”申请勘察会签</w:t>
      </w:r>
      <w:r>
        <w:rPr>
          <w:rFonts w:hint="eastAsia" w:ascii="方正仿宋_GB2312" w:hAnsi="方正仿宋_GB2312" w:eastAsia="方正仿宋_GB2312" w:cs="方正仿宋_GB2312"/>
          <w:sz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如下图所示：</w:t>
      </w:r>
    </w:p>
    <w:p w14:paraId="6F3DCD4B">
      <w:pPr>
        <w:spacing w:line="360" w:lineRule="auto"/>
        <w:ind w:left="0" w:leftChars="0" w:firstLine="0" w:firstLineChars="0"/>
        <w:jc w:val="left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4979670" cy="2971800"/>
            <wp:effectExtent l="0" t="0" r="1143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7967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89E30">
      <w:pPr>
        <w:pStyle w:val="2"/>
        <w:ind w:left="0" w:leftChars="0" w:firstLine="420" w:firstLineChars="0"/>
        <w:rPr>
          <w:rFonts w:hint="default" w:eastAsia="方正仿宋_GB2312"/>
          <w:color w:val="FF0000"/>
          <w:sz w:val="28"/>
          <w:szCs w:val="28"/>
          <w:lang w:val="en-US" w:eastAsia="zh-CN"/>
        </w:rPr>
      </w:pPr>
      <w:r>
        <w:rPr>
          <w:rFonts w:hint="eastAsia" w:eastAsia="方正仿宋_GB2312"/>
          <w:color w:val="FF0000"/>
          <w:sz w:val="28"/>
          <w:szCs w:val="28"/>
          <w:lang w:val="en-US" w:eastAsia="zh-CN"/>
        </w:rPr>
        <w:t>注：发起勘察会签后，相关管线权属单位应于5个工作日提交会签意见，逾期视为无意见。</w:t>
      </w:r>
    </w:p>
    <w:p w14:paraId="7285F85A">
      <w:pPr>
        <w:keepNext/>
        <w:keepLines/>
        <w:widowControl w:val="0"/>
        <w:numPr>
          <w:ilvl w:val="2"/>
          <w:numId w:val="2"/>
        </w:numPr>
        <w:bidi w:val="0"/>
        <w:spacing w:after="260" w:line="415" w:lineRule="auto"/>
        <w:ind w:left="0" w:leftChars="0" w:firstLine="0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21" w:name="_Toc8274"/>
      <w:bookmarkStart w:id="22" w:name="_Toc23028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发起开工告知</w:t>
      </w:r>
      <w:bookmarkEnd w:id="21"/>
      <w:bookmarkEnd w:id="22"/>
    </w:p>
    <w:p w14:paraId="0732ECBC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建设单位在发起勘察会签申请后，需在“</w:t>
      </w:r>
      <w:r>
        <w:rPr>
          <w:rFonts w:hint="eastAsia" w:ascii="方正仿宋_GB2312" w:hAnsi="方正仿宋_GB2312" w:eastAsia="方正仿宋_GB2312" w:cs="方正仿宋_GB2312"/>
          <w:sz w:val="28"/>
        </w:rPr>
        <w:t>广州市地下管线建设管理系统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”发起开工告知，具体操作步骤如下：</w:t>
      </w:r>
    </w:p>
    <w:p w14:paraId="68BFD4F6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用户点击“点击进入”后，</w:t>
      </w:r>
      <w:r>
        <w:rPr>
          <w:rFonts w:hint="eastAsia" w:ascii="方正仿宋_GB2312" w:hAnsi="方正仿宋_GB2312" w:eastAsia="方正仿宋_GB2312" w:cs="方正仿宋_GB2312"/>
          <w:sz w:val="28"/>
        </w:rPr>
        <w:t>跳转至“广州市地下管线建设管理系统”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发起开工告知</w:t>
      </w:r>
      <w:r>
        <w:rPr>
          <w:rFonts w:hint="eastAsia" w:ascii="方正仿宋_GB2312" w:hAnsi="方正仿宋_GB2312" w:eastAsia="方正仿宋_GB2312" w:cs="方正仿宋_GB2312"/>
          <w:sz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如下图所示：</w:t>
      </w:r>
    </w:p>
    <w:p w14:paraId="19B1D669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682615" cy="2486025"/>
            <wp:effectExtent l="0" t="0" r="6985" b="3175"/>
            <wp:docPr id="8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8261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321D8">
      <w:pPr>
        <w:spacing w:line="360" w:lineRule="auto"/>
        <w:ind w:left="0" w:leftChars="0" w:firstLine="42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发起开工告知页面如下图所示：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806440" cy="3345180"/>
            <wp:effectExtent l="0" t="0" r="10160" b="7620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34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D3E8C">
      <w:pPr>
        <w:keepNext/>
        <w:keepLines/>
        <w:widowControl w:val="0"/>
        <w:numPr>
          <w:ilvl w:val="2"/>
          <w:numId w:val="2"/>
        </w:numPr>
        <w:bidi w:val="0"/>
        <w:spacing w:after="260" w:line="415" w:lineRule="auto"/>
        <w:ind w:left="0" w:leftChars="0" w:firstLine="0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23" w:name="_Toc31194"/>
      <w:bookmarkStart w:id="24" w:name="_Toc3937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生成会签报告</w:t>
      </w:r>
      <w:bookmarkEnd w:id="23"/>
      <w:bookmarkEnd w:id="24"/>
    </w:p>
    <w:p w14:paraId="3924D2F2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建设单位在完成申请勘察会签、发起开工告知后，需通过填写发改项目统一代码，生成勘察工程会签报告，具体操作步骤如下：</w:t>
      </w:r>
    </w:p>
    <w:p w14:paraId="368C1031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第一步：点击“生成勘察报告”，跳转至对应页面，如下图所示：</w:t>
      </w:r>
    </w:p>
    <w:p w14:paraId="78D31193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697220" cy="2492375"/>
            <wp:effectExtent l="0" t="0" r="5080" b="9525"/>
            <wp:docPr id="10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9722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3E576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第二步：通过填写发改项目统一代码，点击“生成勘察会签报告”，即可生成勘察工程会签报告，如下图所示：</w:t>
      </w:r>
    </w:p>
    <w:p w14:paraId="054778C4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377180" cy="3177540"/>
            <wp:effectExtent l="0" t="0" r="7620" b="1016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7718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A62E2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勘察会签报告页面如下图所示：</w:t>
      </w:r>
    </w:p>
    <w:p w14:paraId="5374A26A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451475" cy="3260090"/>
            <wp:effectExtent l="0" t="0" r="9525" b="3810"/>
            <wp:docPr id="3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51475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51DC5">
      <w:pPr>
        <w:keepNext/>
        <w:keepLines/>
        <w:widowControl w:val="0"/>
        <w:numPr>
          <w:ilvl w:val="2"/>
          <w:numId w:val="2"/>
        </w:numPr>
        <w:bidi w:val="0"/>
        <w:spacing w:after="260" w:line="415" w:lineRule="auto"/>
        <w:ind w:left="0" w:leftChars="0" w:firstLine="0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25" w:name="_Toc27941"/>
      <w:bookmarkStart w:id="26" w:name="_Toc6569"/>
      <w:bookmarkStart w:id="27" w:name="_Toc31163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查看会签报告</w:t>
      </w:r>
      <w:bookmarkEnd w:id="25"/>
      <w:bookmarkEnd w:id="26"/>
    </w:p>
    <w:p w14:paraId="1500247C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若勘察项目已生成会签报告后，用户可点击“查看会签报告”跳转至勘察会签报告页面进行查阅，如下图所示：</w:t>
      </w:r>
    </w:p>
    <w:p w14:paraId="1BB1F2FA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158105" cy="2256790"/>
            <wp:effectExtent l="0" t="0" r="10795" b="3810"/>
            <wp:docPr id="22" name="图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58105" cy="225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A56E4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勘察会签报告页面如下图所示：</w:t>
      </w:r>
    </w:p>
    <w:p w14:paraId="1FB63898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451475" cy="3260090"/>
            <wp:effectExtent l="0" t="0" r="9525" b="3810"/>
            <wp:docPr id="2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51475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82C6E">
      <w:pPr>
        <w:keepNext/>
        <w:keepLines/>
        <w:widowControl w:val="0"/>
        <w:numPr>
          <w:ilvl w:val="2"/>
          <w:numId w:val="2"/>
        </w:numPr>
        <w:bidi w:val="0"/>
        <w:spacing w:after="260" w:line="415" w:lineRule="auto"/>
        <w:ind w:left="0" w:leftChars="0" w:firstLine="0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28" w:name="_Toc14183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施工图审查</w:t>
      </w:r>
      <w:bookmarkEnd w:id="27"/>
      <w:bookmarkEnd w:id="28"/>
    </w:p>
    <w:p w14:paraId="1EBDBBDB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建设单位需跳转至“广州市施工图联合审图系统”，针对2025年5月1号以前已完成勘察的项目，需上传勘察合同、带有时间的勘察记录照片等佐证材料，相关佐证材料将推送至“广州市工程勘察安全监管系统”，作为有关主管部门监管依据。则2025年5月1号以后已完成勘察的项目，可直接勾选已生成的勘察会签。</w:t>
      </w:r>
    </w:p>
    <w:p w14:paraId="339D8CF9">
      <w:pPr>
        <w:pStyle w:val="2"/>
        <w:ind w:left="0" w:leftChars="0" w:firstLine="560" w:firstLineChars="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FF0000"/>
          <w:kern w:val="2"/>
          <w:sz w:val="28"/>
          <w:szCs w:val="24"/>
          <w:lang w:val="en-US" w:eastAsia="zh-CN" w:bidi="ar-SA"/>
        </w:rPr>
        <w:t>注：本系统仅作为“广州市施工图联合审图系统”的登录入口，可允许用户直接通过“广州市施工图联合审图系统”登录进入，不受本系统限制。</w:t>
      </w:r>
    </w:p>
    <w:p w14:paraId="686E32E3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具体操作步骤如下所示：</w:t>
      </w:r>
    </w:p>
    <w:p w14:paraId="480E6BB5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第一步：点击“点击进入”即可跳转至“广州市施工图联合审图系统”，如下图所示：</w:t>
      </w:r>
    </w:p>
    <w:p w14:paraId="5496FE47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203190" cy="2277110"/>
            <wp:effectExtent l="0" t="0" r="3810" b="8890"/>
            <wp:docPr id="14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03190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2C15C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第二步：若是2025年5月1日以前已完成勘察的项目，勾选为“是”，否则勾选为“否”，如下图所示：</w:t>
      </w:r>
    </w:p>
    <w:p w14:paraId="474521EE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6531610" cy="4455795"/>
            <wp:effectExtent l="0" t="0" r="8890" b="1905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31610" cy="445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2FF7C">
      <w:pPr>
        <w:spacing w:line="360" w:lineRule="auto"/>
        <w:ind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第三步：若勾选为“否”，在【16.地下管线会签报告】点击“获取会签报告”，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直接勾选已生成的勘察会签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，如下图所示：</w:t>
      </w:r>
    </w:p>
    <w:p w14:paraId="7D10E75C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396230" cy="2772410"/>
            <wp:effectExtent l="0" t="0" r="1270" b="889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C9D64">
      <w:pPr>
        <w:widowControl w:val="0"/>
        <w:spacing w:after="120" w:line="360" w:lineRule="auto"/>
        <w:ind w:left="0" w:leftChars="0" w:firstLine="420" w:firstLineChars="0"/>
        <w:jc w:val="both"/>
        <w:rPr>
          <w:rFonts w:hint="default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选择会签报告页面，如下图所示：</w:t>
      </w:r>
    </w:p>
    <w:p w14:paraId="61015354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710555" cy="2734310"/>
            <wp:effectExtent l="0" t="0" r="4445" b="8890"/>
            <wp:docPr id="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10555" cy="273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8B5D0">
      <w:pPr>
        <w:pStyle w:val="2"/>
        <w:ind w:left="0" w:leftChars="0" w:firstLine="420" w:firstLineChars="0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若选择为“是”，需上传勘察合同、带有时间的勘察记录照片等佐证材料。</w:t>
      </w:r>
    </w:p>
    <w:p w14:paraId="2AF158BC">
      <w:pPr>
        <w:keepNext/>
        <w:keepLines/>
        <w:widowControl w:val="0"/>
        <w:numPr>
          <w:ilvl w:val="1"/>
          <w:numId w:val="2"/>
        </w:numPr>
        <w:bidi w:val="0"/>
        <w:spacing w:before="260" w:after="260" w:line="415" w:lineRule="auto"/>
        <w:ind w:left="0" w:leftChars="0" w:firstLine="0" w:firstLineChars="0"/>
        <w:jc w:val="both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29" w:name="_Toc27412"/>
      <w:bookmarkStart w:id="30" w:name="_Toc8095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项目管理</w:t>
      </w:r>
      <w:bookmarkEnd w:id="29"/>
      <w:bookmarkEnd w:id="30"/>
    </w:p>
    <w:p w14:paraId="58E7BB8F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实现所属勘察工程项目台账的查询、工程项目的详情查看、勘察会签报告的生成及发起勘察整改等。</w:t>
      </w:r>
    </w:p>
    <w:p w14:paraId="2FB5D487">
      <w:pPr>
        <w:pStyle w:val="2"/>
        <w:ind w:left="0" w:leftChars="0" w:firstLine="420" w:firstLineChars="0"/>
        <w:rPr>
          <w:rFonts w:hint="default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注：生成会签报告、查看会签报告的操作步骤可参考</w:t>
      </w:r>
    </w:p>
    <w:p w14:paraId="47FA8DEE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drawing>
          <wp:inline distT="0" distB="0" distL="114300" distR="114300">
            <wp:extent cx="5356225" cy="2839085"/>
            <wp:effectExtent l="0" t="0" r="3175" b="5715"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4BA23">
      <w:pPr>
        <w:pStyle w:val="6"/>
        <w:bidi w:val="0"/>
        <w:rPr>
          <w:rFonts w:hint="eastAsia"/>
          <w:lang w:val="en-US" w:eastAsia="zh-CN"/>
        </w:rPr>
      </w:pPr>
      <w:bookmarkStart w:id="31" w:name="_Toc32012"/>
      <w:bookmarkStart w:id="32" w:name="_发起勘察整改"/>
      <w:r>
        <w:rPr>
          <w:rFonts w:hint="eastAsia"/>
          <w:lang w:val="en-US" w:eastAsia="zh-CN"/>
        </w:rPr>
        <w:t>发起勘察整改</w:t>
      </w:r>
      <w:bookmarkEnd w:id="31"/>
    </w:p>
    <w:p w14:paraId="72792570">
      <w:pPr>
        <w:spacing w:line="360" w:lineRule="auto"/>
        <w:ind w:firstLine="560" w:firstLineChars="200"/>
        <w:rPr>
          <w:rFonts w:hint="default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对2025年5月1日以后完成勘察、又未按要求进行勘察会签的，建设单位登陆“广州市工程勘察安全监管系统”发起整改，对勘察安全情况进行说明。具体操作步骤如下：</w:t>
      </w:r>
    </w:p>
    <w:p w14:paraId="2D717A08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第一步：点击“发起勘察整改”按钮，如下图所示：</w:t>
      </w:r>
    </w:p>
    <w:p w14:paraId="3D93AC27">
      <w:pPr>
        <w:pStyle w:val="2"/>
        <w:ind w:left="0" w:leftChars="0" w:firstLine="0" w:firstLineChars="0"/>
      </w:pPr>
      <w:r>
        <w:drawing>
          <wp:inline distT="0" distB="0" distL="114300" distR="114300">
            <wp:extent cx="5356225" cy="2839085"/>
            <wp:effectExtent l="0" t="0" r="3175" b="5715"/>
            <wp:docPr id="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56225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47C79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第二步：选择项目，并录入情况说明及上传相关证明材料，如下图所示：</w:t>
      </w:r>
    </w:p>
    <w:p w14:paraId="1ECBCD15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362575" cy="2763520"/>
            <wp:effectExtent l="0" t="0" r="9525" b="5080"/>
            <wp:docPr id="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76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32"/>
    <w:p w14:paraId="4B895F70">
      <w:pPr>
        <w:spacing w:line="360" w:lineRule="auto"/>
        <w:ind w:firstLine="420" w:firstLineChars="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第三步：待监管单位通过后，建设单位在“广州市施工图联合审图系统”推送施工图审查前，选取与送审工程相匹配的勘察整改报告后，推送施工图审查，如下图所示：</w:t>
      </w:r>
    </w:p>
    <w:p w14:paraId="681F7CD5">
      <w:pPr>
        <w:pStyle w:val="2"/>
        <w:ind w:left="0" w:leftChars="0" w:firstLine="0" w:firstLineChars="0"/>
      </w:pPr>
      <w:r>
        <w:drawing>
          <wp:inline distT="0" distB="0" distL="114300" distR="114300">
            <wp:extent cx="5358765" cy="2875280"/>
            <wp:effectExtent l="0" t="0" r="635" b="7620"/>
            <wp:docPr id="3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4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58765" cy="287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DDC0A">
      <w:pPr>
        <w:pStyle w:val="2"/>
        <w:ind w:left="0" w:leftChars="0" w:firstLine="0" w:firstLineChars="0"/>
        <w:rPr>
          <w:rFonts w:hint="default" w:ascii="方正仿宋_GB2312" w:hAnsi="方正仿宋_GB2312" w:eastAsia="方正仿宋_GB2312" w:cs="方正仿宋_GB2312"/>
          <w:sz w:val="28"/>
          <w:lang w:val="en-US" w:eastAsia="zh-CN"/>
        </w:rPr>
      </w:pPr>
      <w:r>
        <w:drawing>
          <wp:inline distT="0" distB="0" distL="114300" distR="114300">
            <wp:extent cx="4724400" cy="3797300"/>
            <wp:effectExtent l="0" t="0" r="0" b="0"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9A186">
      <w:pPr>
        <w:keepNext/>
        <w:keepLines/>
        <w:widowControl w:val="0"/>
        <w:numPr>
          <w:ilvl w:val="1"/>
          <w:numId w:val="2"/>
        </w:numPr>
        <w:bidi w:val="0"/>
        <w:spacing w:before="260" w:after="260" w:line="415" w:lineRule="auto"/>
        <w:ind w:left="0" w:leftChars="0" w:firstLine="0" w:firstLineChars="0"/>
        <w:jc w:val="both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33" w:name="_Toc21303"/>
      <w:bookmarkStart w:id="34" w:name="_Toc15617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工作事项</w:t>
      </w:r>
      <w:bookmarkEnd w:id="33"/>
      <w:bookmarkEnd w:id="34"/>
    </w:p>
    <w:p w14:paraId="58E05A92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系统会及时发送消息告知建设单位关于勘察项目的信息，确保建设单位随时掌握项目动态。</w:t>
      </w:r>
    </w:p>
    <w:p w14:paraId="73D255B7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430520" cy="2585720"/>
            <wp:effectExtent l="0" t="0" r="5080" b="5080"/>
            <wp:docPr id="40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3052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EFD09">
      <w:pPr>
        <w:keepNext/>
        <w:keepLines/>
        <w:widowControl w:val="0"/>
        <w:numPr>
          <w:ilvl w:val="0"/>
          <w:numId w:val="2"/>
        </w:numPr>
        <w:spacing w:before="340" w:after="330" w:line="578" w:lineRule="auto"/>
        <w:ind w:left="0" w:firstLine="0" w:firstLineChars="0"/>
        <w:jc w:val="both"/>
        <w:outlineLvl w:val="0"/>
        <w:rPr>
          <w:rFonts w:hint="eastAsia" w:ascii="方正仿宋_GB2312" w:hAnsi="方正仿宋_GB2312" w:eastAsia="方正仿宋_GB2312" w:cs="方正仿宋_GB2312"/>
          <w:b/>
          <w:bCs/>
          <w:kern w:val="44"/>
          <w:sz w:val="44"/>
          <w:szCs w:val="44"/>
          <w:lang w:val="en-US" w:eastAsia="zh-CN" w:bidi="ar-SA"/>
        </w:rPr>
      </w:pPr>
      <w:bookmarkStart w:id="35" w:name="_Toc13133"/>
      <w:bookmarkStart w:id="36" w:name="_Toc17504"/>
      <w:r>
        <w:rPr>
          <w:rFonts w:hint="eastAsia" w:ascii="方正仿宋_GB2312" w:hAnsi="方正仿宋_GB2312" w:eastAsia="方正仿宋_GB2312" w:cs="方正仿宋_GB2312"/>
          <w:b/>
          <w:bCs/>
          <w:kern w:val="44"/>
          <w:sz w:val="44"/>
          <w:szCs w:val="44"/>
          <w:lang w:val="en-US" w:eastAsia="zh-CN" w:bidi="ar-SA"/>
        </w:rPr>
        <w:t>区级监管单位</w:t>
      </w:r>
      <w:bookmarkEnd w:id="35"/>
      <w:bookmarkEnd w:id="36"/>
    </w:p>
    <w:p w14:paraId="4F6A1517">
      <w:pPr>
        <w:keepNext/>
        <w:keepLines/>
        <w:widowControl w:val="0"/>
        <w:numPr>
          <w:ilvl w:val="1"/>
          <w:numId w:val="2"/>
        </w:numPr>
        <w:spacing w:before="260" w:after="260" w:line="415" w:lineRule="auto"/>
        <w:ind w:left="0" w:leftChars="0" w:firstLine="0" w:firstLineChars="0"/>
        <w:jc w:val="both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37" w:name="_Toc8564"/>
      <w:bookmarkStart w:id="38" w:name="_Toc29519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账号建立</w:t>
      </w:r>
      <w:bookmarkEnd w:id="37"/>
    </w:p>
    <w:p w14:paraId="79432A71">
      <w:pPr>
        <w:pStyle w:val="2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请按照以下表格内容提供账号信息，并提交至“市住房城乡建设局科技设计处刘晗粤政易”，由后台进行账号创建，每个单位限定4个账号</w:t>
      </w:r>
      <w:r>
        <w:rPr>
          <w:rFonts w:hint="eastAsia" w:ascii="方正仿宋_GB2312" w:hAnsi="方正仿宋_GB2312" w:eastAsia="方正仿宋_GB2312" w:cs="方正仿宋_GB2312"/>
          <w:color w:val="FF0000"/>
          <w:kern w:val="2"/>
          <w:sz w:val="28"/>
          <w:szCs w:val="24"/>
          <w:lang w:val="en-US" w:eastAsia="zh-CN" w:bidi="ar-SA"/>
        </w:rPr>
        <w:t>（至少3个）</w:t>
      </w: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如下图所示：</w:t>
      </w:r>
    </w:p>
    <w:p w14:paraId="57476FBC">
      <w:pPr>
        <w:pStyle w:val="2"/>
        <w:ind w:left="0" w:leftChars="0" w:firstLine="0" w:firstLineChars="0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drawing>
          <wp:inline distT="0" distB="0" distL="114300" distR="114300">
            <wp:extent cx="5490210" cy="1882140"/>
            <wp:effectExtent l="0" t="0" r="8890" b="1016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D5452">
      <w:pPr>
        <w:keepNext/>
        <w:keepLines/>
        <w:widowControl w:val="0"/>
        <w:numPr>
          <w:ilvl w:val="1"/>
          <w:numId w:val="2"/>
        </w:numPr>
        <w:spacing w:before="260" w:after="260" w:line="415" w:lineRule="auto"/>
        <w:ind w:left="0" w:leftChars="0" w:firstLine="0" w:firstLineChars="0"/>
        <w:jc w:val="both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39" w:name="_Toc18742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登录及说明</w:t>
      </w:r>
      <w:bookmarkEnd w:id="38"/>
      <w:bookmarkEnd w:id="39"/>
    </w:p>
    <w:p w14:paraId="22E9A181">
      <w:pPr>
        <w:keepNext/>
        <w:keepLines/>
        <w:widowControl w:val="0"/>
        <w:numPr>
          <w:ilvl w:val="2"/>
          <w:numId w:val="2"/>
        </w:numPr>
        <w:spacing w:after="260" w:line="415" w:lineRule="auto"/>
        <w:ind w:left="709" w:hanging="709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40" w:name="_Toc25343"/>
      <w:bookmarkStart w:id="41" w:name="_Toc17901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账号登录</w:t>
      </w:r>
      <w:bookmarkEnd w:id="40"/>
      <w:bookmarkEnd w:id="41"/>
    </w:p>
    <w:p w14:paraId="147FC69D">
      <w:pPr>
        <w:spacing w:line="360" w:lineRule="auto"/>
        <w:ind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用户在登录页面选择“政务登录”后，即可通过</w:t>
      </w:r>
      <w:r>
        <w:rPr>
          <w:rFonts w:hint="eastAsia" w:ascii="方正仿宋_GB2312" w:hAnsi="方正仿宋_GB2312" w:eastAsia="方正仿宋_GB2312" w:cs="方正仿宋_GB2312"/>
          <w:sz w:val="28"/>
        </w:rPr>
        <w:t>使用粤政易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app</w:t>
      </w:r>
      <w:r>
        <w:rPr>
          <w:rFonts w:hint="eastAsia" w:ascii="方正仿宋_GB2312" w:hAnsi="方正仿宋_GB2312" w:eastAsia="方正仿宋_GB2312" w:cs="方正仿宋_GB2312"/>
          <w:sz w:val="28"/>
        </w:rPr>
        <w:t>扫码登录</w:t>
      </w:r>
      <w:r>
        <w:rPr>
          <w:rFonts w:hint="eastAsia" w:ascii="方正仿宋_GB2312" w:hAnsi="方正仿宋_GB2312" w:eastAsia="方正仿宋_GB2312" w:cs="方正仿宋_GB2312"/>
          <w:sz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如下图所示：</w:t>
      </w:r>
    </w:p>
    <w:p w14:paraId="0F1A26DA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038725" cy="2385060"/>
            <wp:effectExtent l="0" t="0" r="3175" b="2540"/>
            <wp:docPr id="4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C0DC6">
      <w:pPr>
        <w:spacing w:line="360" w:lineRule="auto"/>
        <w:ind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粤政易扫码登录页面如下图所示：</w:t>
      </w:r>
    </w:p>
    <w:p w14:paraId="1E0A65E7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3302635" cy="3550920"/>
            <wp:effectExtent l="0" t="0" r="12065" b="5080"/>
            <wp:docPr id="4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1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302635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8AD6A">
      <w:pPr>
        <w:keepNext/>
        <w:keepLines/>
        <w:widowControl w:val="0"/>
        <w:numPr>
          <w:ilvl w:val="1"/>
          <w:numId w:val="2"/>
        </w:numPr>
        <w:bidi w:val="0"/>
        <w:spacing w:before="260" w:after="260" w:line="415" w:lineRule="auto"/>
        <w:ind w:left="0" w:leftChars="0" w:firstLine="0" w:firstLineChars="0"/>
        <w:jc w:val="both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42" w:name="_Toc27500"/>
      <w:bookmarkStart w:id="43" w:name="_Toc4478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勘察工程项目台账</w:t>
      </w:r>
      <w:bookmarkEnd w:id="42"/>
      <w:bookmarkEnd w:id="43"/>
    </w:p>
    <w:p w14:paraId="175A6B4C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实现勘察项目台账的查询及详情查看，包括查看项目信息、会签报告等信息。</w:t>
      </w:r>
    </w:p>
    <w:p w14:paraId="6A7B41C4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113020" cy="2506345"/>
            <wp:effectExtent l="0" t="0" r="5080" b="8255"/>
            <wp:docPr id="48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5FB43">
      <w:pPr>
        <w:keepNext/>
        <w:keepLines/>
        <w:widowControl w:val="0"/>
        <w:numPr>
          <w:ilvl w:val="2"/>
          <w:numId w:val="2"/>
        </w:numPr>
        <w:bidi w:val="0"/>
        <w:spacing w:after="260" w:line="415" w:lineRule="auto"/>
        <w:ind w:left="0" w:leftChars="0" w:firstLine="0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44" w:name="_Toc32636"/>
      <w:bookmarkStart w:id="45" w:name="_Toc30206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查看工程项目详情</w:t>
      </w:r>
      <w:bookmarkEnd w:id="44"/>
      <w:bookmarkEnd w:id="45"/>
    </w:p>
    <w:p w14:paraId="684C288F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用户可根据需求选择任一项目，点击其“查看工程项目”按钮即可跳转至工程项目详情页面，如下图所示：</w:t>
      </w:r>
    </w:p>
    <w:p w14:paraId="79AC0B65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113020" cy="2506345"/>
            <wp:effectExtent l="0" t="0" r="5080" b="8255"/>
            <wp:docPr id="59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162E4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工程项目详情页面如下图所示：</w:t>
      </w:r>
    </w:p>
    <w:p w14:paraId="7334B903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128895" cy="3012440"/>
            <wp:effectExtent l="0" t="0" r="1905" b="10160"/>
            <wp:docPr id="5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3"/>
                    <pic:cNvPicPr>
                      <a:picLocks noChangeAspect="1"/>
                    </pic:cNvPicPr>
                  </pic:nvPicPr>
                  <pic:blipFill>
                    <a:blip r:embed="rId42">
                      <a:alphaModFix amt="9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519B7">
      <w:pPr>
        <w:keepNext/>
        <w:keepLines/>
        <w:widowControl w:val="0"/>
        <w:numPr>
          <w:ilvl w:val="2"/>
          <w:numId w:val="2"/>
        </w:numPr>
        <w:bidi w:val="0"/>
        <w:spacing w:after="260" w:line="415" w:lineRule="auto"/>
        <w:ind w:left="0" w:leftChars="0" w:firstLine="0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46" w:name="_Toc15147"/>
      <w:bookmarkStart w:id="47" w:name="_Toc12958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查看会签报告</w:t>
      </w:r>
      <w:bookmarkEnd w:id="46"/>
      <w:bookmarkEnd w:id="47"/>
    </w:p>
    <w:p w14:paraId="5D28CA19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若勘察项目已生成会签报告，用户可点击“查看会签报告”跳转至勘察会签报告页面进行查阅，如下图所示：</w:t>
      </w:r>
    </w:p>
    <w:p w14:paraId="676778EF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113020" cy="2506345"/>
            <wp:effectExtent l="0" t="0" r="5080" b="8255"/>
            <wp:docPr id="60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91DDF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勘察会签报告页面如下图所示：</w:t>
      </w:r>
    </w:p>
    <w:p w14:paraId="2C4FC1AF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451475" cy="3260090"/>
            <wp:effectExtent l="0" t="0" r="9525" b="3810"/>
            <wp:docPr id="5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51475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104AB">
      <w:pPr>
        <w:keepNext/>
        <w:keepLines/>
        <w:widowControl w:val="0"/>
        <w:numPr>
          <w:ilvl w:val="1"/>
          <w:numId w:val="2"/>
        </w:numPr>
        <w:bidi w:val="0"/>
        <w:spacing w:before="260" w:after="260" w:line="415" w:lineRule="auto"/>
        <w:ind w:left="0" w:leftChars="0" w:firstLine="0" w:firstLineChars="0"/>
        <w:jc w:val="both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48" w:name="_Toc2983"/>
      <w:bookmarkStart w:id="49" w:name="_Toc5211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勘察整改项目台账</w:t>
      </w:r>
      <w:bookmarkEnd w:id="48"/>
    </w:p>
    <w:p w14:paraId="154D230A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监管单位在勘察安全整改项目台账中对2025年5月1日以后完成勘察、又未按要求进行勘察会签项目的勘察安全情况进行逐一确认。</w:t>
      </w:r>
    </w:p>
    <w:p w14:paraId="463A1893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362575" cy="2501265"/>
            <wp:effectExtent l="0" t="0" r="9525" b="635"/>
            <wp:docPr id="5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18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AE92F">
      <w:pPr>
        <w:widowControl w:val="0"/>
        <w:spacing w:after="120" w:line="360" w:lineRule="auto"/>
        <w:ind w:left="0" w:leftChars="0" w:firstLine="420" w:firstLineChars="0"/>
        <w:jc w:val="both"/>
        <w:rPr>
          <w:rFonts w:hint="default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具体操作步骤如下：</w:t>
      </w:r>
    </w:p>
    <w:p w14:paraId="6350FD05">
      <w:pPr>
        <w:pStyle w:val="2"/>
        <w:ind w:left="0" w:leftChars="0" w:firstLine="420" w:firstLineChars="0"/>
        <w:rPr>
          <w:rFonts w:hint="default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第一步：选中状态为“待处理”的项目，并点击“处理”按钮，跳转至勘察整改详情页面，如下图所示：</w:t>
      </w:r>
    </w:p>
    <w:p w14:paraId="7C04808A">
      <w:pPr>
        <w:pStyle w:val="2"/>
        <w:ind w:left="0" w:leftChars="0" w:firstLine="0" w:firstLineChars="0"/>
      </w:pPr>
      <w:r>
        <w:drawing>
          <wp:inline distT="0" distB="0" distL="114300" distR="114300">
            <wp:extent cx="5362575" cy="2313305"/>
            <wp:effectExtent l="0" t="0" r="9525" b="10795"/>
            <wp:docPr id="5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E1A06">
      <w:pPr>
        <w:pStyle w:val="2"/>
        <w:ind w:left="0" w:leftChars="0" w:firstLine="420" w:firstLineChars="0"/>
        <w:rPr>
          <w:rFonts w:hint="default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第二步：监管单位在详情页面，需根据实际情况判断是否通过，若通过则点击“通过”按钮，通过后，系统会自动生成勘察安全整改报告，如下图所示：</w:t>
      </w:r>
    </w:p>
    <w:p w14:paraId="5D429B50">
      <w:pPr>
        <w:pStyle w:val="2"/>
        <w:ind w:left="0" w:leftChars="0" w:firstLine="0" w:firstLineChars="0"/>
      </w:pPr>
      <w:r>
        <w:drawing>
          <wp:inline distT="0" distB="0" distL="114300" distR="114300">
            <wp:extent cx="5361305" cy="2766695"/>
            <wp:effectExtent l="0" t="0" r="10795" b="1905"/>
            <wp:docPr id="4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61305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48789">
      <w:pPr>
        <w:pStyle w:val="2"/>
        <w:ind w:left="0" w:leftChars="0" w:firstLine="420" w:firstLineChars="0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勘察安全整改报告如下图所示：</w:t>
      </w:r>
    </w:p>
    <w:p w14:paraId="112650AF">
      <w:pPr>
        <w:pStyle w:val="2"/>
        <w:ind w:left="0" w:leftChars="0" w:firstLine="0" w:firstLineChars="0"/>
        <w:rPr>
          <w:rFonts w:hint="default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drawing>
          <wp:inline distT="0" distB="0" distL="114300" distR="114300">
            <wp:extent cx="5359400" cy="2806700"/>
            <wp:effectExtent l="0" t="0" r="0" b="0"/>
            <wp:docPr id="4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57434">
      <w:pPr>
        <w:keepNext/>
        <w:keepLines/>
        <w:widowControl w:val="0"/>
        <w:numPr>
          <w:ilvl w:val="1"/>
          <w:numId w:val="2"/>
        </w:numPr>
        <w:bidi w:val="0"/>
        <w:spacing w:before="260" w:after="260" w:line="415" w:lineRule="auto"/>
        <w:ind w:left="0" w:leftChars="0" w:firstLine="0" w:firstLineChars="0"/>
        <w:jc w:val="both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50" w:name="_Toc3606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勘察异常项目台账</w:t>
      </w:r>
      <w:bookmarkEnd w:id="49"/>
      <w:bookmarkEnd w:id="50"/>
    </w:p>
    <w:p w14:paraId="4485C1BD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从施工图审查系统中拉取2025年5月1日前已完成勘察的项目进行预警，由监管单位核实材料的真实性。</w:t>
      </w:r>
    </w:p>
    <w:p w14:paraId="672AB80F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125085" cy="2512060"/>
            <wp:effectExtent l="0" t="0" r="5715" b="2540"/>
            <wp:docPr id="75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2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125085" cy="251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BD4BE">
      <w:pPr>
        <w:keepNext/>
        <w:keepLines/>
        <w:widowControl w:val="0"/>
        <w:numPr>
          <w:ilvl w:val="2"/>
          <w:numId w:val="2"/>
        </w:numPr>
        <w:bidi w:val="0"/>
        <w:spacing w:after="260" w:line="415" w:lineRule="auto"/>
        <w:ind w:left="0" w:firstLine="0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51" w:name="_Toc28496"/>
      <w:bookmarkStart w:id="52" w:name="_Toc26220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核实</w:t>
      </w:r>
      <w:bookmarkEnd w:id="51"/>
      <w:bookmarkEnd w:id="52"/>
    </w:p>
    <w:p w14:paraId="61AA6617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根据需求选中任一项目并点击其“核实”按钮，即可弹出至核实页面，如下图所示：</w:t>
      </w:r>
    </w:p>
    <w:p w14:paraId="6E7347A2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160010" cy="2529205"/>
            <wp:effectExtent l="0" t="0" r="8890" b="10795"/>
            <wp:docPr id="78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16001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CAAD6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核实操作步骤如下：</w:t>
      </w:r>
    </w:p>
    <w:p w14:paraId="5BDAB655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根据材料判断是否核实通过，若核实通过，勾选为核实通过即可点击“完成核实”按钮完成核实，如下图所示：</w:t>
      </w:r>
    </w:p>
    <w:p w14:paraId="69A13BC0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156200" cy="3009265"/>
            <wp:effectExtent l="0" t="0" r="0" b="635"/>
            <wp:docPr id="76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3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1807C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若不通过，则勾选为核实不通过并填写情况说明，并点击“完成核实”按钮完成核实，如下图所示：</w:t>
      </w:r>
    </w:p>
    <w:p w14:paraId="308E57E7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240655" cy="3175000"/>
            <wp:effectExtent l="0" t="0" r="4445" b="0"/>
            <wp:docPr id="79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3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A5F0E">
      <w:pPr>
        <w:keepNext/>
        <w:keepLines/>
        <w:widowControl w:val="0"/>
        <w:numPr>
          <w:ilvl w:val="2"/>
          <w:numId w:val="2"/>
        </w:numPr>
        <w:bidi w:val="0"/>
        <w:spacing w:after="260" w:line="415" w:lineRule="auto"/>
        <w:ind w:left="0" w:firstLine="0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53" w:name="_Toc1409"/>
      <w:bookmarkStart w:id="54" w:name="_Toc4176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查看详情</w:t>
      </w:r>
      <w:bookmarkEnd w:id="53"/>
      <w:bookmarkEnd w:id="54"/>
    </w:p>
    <w:p w14:paraId="7DA5EECA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根据需求选中任一异常项目，点击其“查看”即可弹出详情信息，如下图所示：</w:t>
      </w:r>
    </w:p>
    <w:p w14:paraId="2425DA50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424170" cy="2658745"/>
            <wp:effectExtent l="0" t="0" r="11430" b="8255"/>
            <wp:docPr id="80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2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424170" cy="265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D571F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详情页面如下图所示：</w:t>
      </w:r>
    </w:p>
    <w:p w14:paraId="09369662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495290" cy="2917190"/>
            <wp:effectExtent l="0" t="0" r="3810" b="3810"/>
            <wp:docPr id="8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33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495290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78459">
      <w:pPr>
        <w:keepNext/>
        <w:keepLines/>
        <w:widowControl w:val="0"/>
        <w:numPr>
          <w:ilvl w:val="0"/>
          <w:numId w:val="2"/>
        </w:numPr>
        <w:spacing w:before="340" w:after="330" w:line="578" w:lineRule="auto"/>
        <w:ind w:left="0" w:firstLine="0" w:firstLineChars="0"/>
        <w:jc w:val="both"/>
        <w:outlineLvl w:val="0"/>
        <w:rPr>
          <w:rFonts w:hint="eastAsia" w:ascii="方正仿宋_GB2312" w:hAnsi="方正仿宋_GB2312" w:eastAsia="方正仿宋_GB2312" w:cs="方正仿宋_GB2312"/>
          <w:b/>
          <w:bCs/>
          <w:kern w:val="44"/>
          <w:sz w:val="44"/>
          <w:szCs w:val="44"/>
          <w:lang w:val="en-US" w:eastAsia="zh-CN" w:bidi="ar-SA"/>
        </w:rPr>
      </w:pPr>
      <w:bookmarkStart w:id="55" w:name="_Toc24722"/>
      <w:bookmarkStart w:id="56" w:name="_Toc31493"/>
      <w:r>
        <w:rPr>
          <w:rFonts w:hint="eastAsia" w:ascii="方正仿宋_GB2312" w:hAnsi="方正仿宋_GB2312" w:eastAsia="方正仿宋_GB2312" w:cs="方正仿宋_GB2312"/>
          <w:b/>
          <w:bCs/>
          <w:kern w:val="44"/>
          <w:sz w:val="44"/>
          <w:szCs w:val="44"/>
          <w:lang w:val="en-US" w:eastAsia="zh-CN" w:bidi="ar-SA"/>
        </w:rPr>
        <w:t>市级监管单位</w:t>
      </w:r>
      <w:bookmarkEnd w:id="55"/>
      <w:bookmarkEnd w:id="56"/>
    </w:p>
    <w:p w14:paraId="3C3C7F81">
      <w:pPr>
        <w:keepNext/>
        <w:keepLines/>
        <w:widowControl w:val="0"/>
        <w:numPr>
          <w:ilvl w:val="1"/>
          <w:numId w:val="2"/>
        </w:numPr>
        <w:spacing w:before="260" w:after="260" w:line="415" w:lineRule="auto"/>
        <w:ind w:left="0" w:leftChars="0" w:firstLine="0" w:firstLineChars="0"/>
        <w:jc w:val="both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57" w:name="_Toc290"/>
      <w:bookmarkStart w:id="58" w:name="_Toc15215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账号建立</w:t>
      </w:r>
      <w:bookmarkEnd w:id="57"/>
    </w:p>
    <w:p w14:paraId="25B72A06">
      <w:pPr>
        <w:pStyle w:val="2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请按照以下表格内容提供账号信息，并提交至科技设计处，由后台进行账号创建，如下图所示：</w:t>
      </w:r>
    </w:p>
    <w:p w14:paraId="4EB0A2A8">
      <w:pPr>
        <w:pStyle w:val="2"/>
        <w:rPr>
          <w:rFonts w:hint="default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66460" cy="2430780"/>
            <wp:effectExtent l="0" t="0" r="7620" b="7620"/>
            <wp:wrapSquare wrapText="bothSides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AEC506">
      <w:pPr>
        <w:keepNext/>
        <w:keepLines/>
        <w:widowControl w:val="0"/>
        <w:numPr>
          <w:ilvl w:val="1"/>
          <w:numId w:val="2"/>
        </w:numPr>
        <w:spacing w:before="260" w:after="260" w:line="415" w:lineRule="auto"/>
        <w:ind w:left="0" w:leftChars="0" w:firstLine="0" w:firstLineChars="0"/>
        <w:jc w:val="both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59" w:name="_Toc19962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登录及说明</w:t>
      </w:r>
      <w:bookmarkEnd w:id="58"/>
      <w:bookmarkEnd w:id="59"/>
    </w:p>
    <w:p w14:paraId="1CCEC65C">
      <w:pPr>
        <w:keepNext/>
        <w:keepLines/>
        <w:widowControl w:val="0"/>
        <w:numPr>
          <w:ilvl w:val="2"/>
          <w:numId w:val="2"/>
        </w:numPr>
        <w:spacing w:after="260" w:line="415" w:lineRule="auto"/>
        <w:ind w:left="709" w:hanging="709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60" w:name="_Toc20565"/>
      <w:bookmarkStart w:id="61" w:name="_Toc26523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账号登录</w:t>
      </w:r>
      <w:bookmarkEnd w:id="60"/>
      <w:bookmarkEnd w:id="61"/>
    </w:p>
    <w:p w14:paraId="5DEC6EE2">
      <w:pPr>
        <w:spacing w:line="360" w:lineRule="auto"/>
        <w:ind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用户在登录页面选择“政务登录”后，即可通过</w:t>
      </w:r>
      <w:r>
        <w:rPr>
          <w:rFonts w:hint="eastAsia" w:ascii="方正仿宋_GB2312" w:hAnsi="方正仿宋_GB2312" w:eastAsia="方正仿宋_GB2312" w:cs="方正仿宋_GB2312"/>
          <w:sz w:val="28"/>
        </w:rPr>
        <w:t>使用粤政易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app</w:t>
      </w:r>
      <w:r>
        <w:rPr>
          <w:rFonts w:hint="eastAsia" w:ascii="方正仿宋_GB2312" w:hAnsi="方正仿宋_GB2312" w:eastAsia="方正仿宋_GB2312" w:cs="方正仿宋_GB2312"/>
          <w:sz w:val="28"/>
        </w:rPr>
        <w:t>扫码登录</w:t>
      </w:r>
      <w:r>
        <w:rPr>
          <w:rFonts w:hint="eastAsia" w:ascii="方正仿宋_GB2312" w:hAnsi="方正仿宋_GB2312" w:eastAsia="方正仿宋_GB2312" w:cs="方正仿宋_GB2312"/>
          <w:sz w:val="28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如下图所示：</w:t>
      </w:r>
    </w:p>
    <w:p w14:paraId="74FEE4D9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038725" cy="2385060"/>
            <wp:effectExtent l="0" t="0" r="3175" b="2540"/>
            <wp:docPr id="5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6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4A541">
      <w:pPr>
        <w:spacing w:line="360" w:lineRule="auto"/>
        <w:ind w:firstLine="560" w:firstLineChars="200"/>
        <w:jc w:val="left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粤政易扫码登录页面如下图所示：</w:t>
      </w:r>
    </w:p>
    <w:p w14:paraId="51DF98AC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3302635" cy="3550920"/>
            <wp:effectExtent l="0" t="0" r="12065" b="5080"/>
            <wp:docPr id="6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302635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DDE69">
      <w:pPr>
        <w:keepNext/>
        <w:keepLines/>
        <w:widowControl w:val="0"/>
        <w:numPr>
          <w:ilvl w:val="1"/>
          <w:numId w:val="2"/>
        </w:numPr>
        <w:bidi w:val="0"/>
        <w:spacing w:before="260" w:after="260" w:line="415" w:lineRule="auto"/>
        <w:ind w:left="0" w:leftChars="0" w:firstLine="0" w:firstLineChars="0"/>
        <w:jc w:val="both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62" w:name="_Toc15178"/>
      <w:bookmarkStart w:id="63" w:name="_Toc3516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数据统计</w:t>
      </w:r>
      <w:bookmarkEnd w:id="62"/>
      <w:bookmarkEnd w:id="63"/>
    </w:p>
    <w:p w14:paraId="53EAD489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全市及各区的勘察项目会签、开工告知、会签报告、施工图审查关联情况等数据的汇总统计。</w:t>
      </w:r>
    </w:p>
    <w:p w14:paraId="44348F92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426710" cy="2786380"/>
            <wp:effectExtent l="0" t="0" r="8890" b="7620"/>
            <wp:docPr id="69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12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42671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52DFE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分别点击“勘察会签项目”、“勘察开工告知”、“勘察会签报告”、“施工图审查”等统计板块，即可通过地图直观展示全市各区统计数据的分布情况，如下图所示：</w:t>
      </w:r>
    </w:p>
    <w:p w14:paraId="2E83E826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291455" cy="2717165"/>
            <wp:effectExtent l="0" t="0" r="4445" b="635"/>
            <wp:docPr id="73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2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91455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270F0">
      <w:pPr>
        <w:keepNext/>
        <w:keepLines/>
        <w:widowControl w:val="0"/>
        <w:numPr>
          <w:ilvl w:val="1"/>
          <w:numId w:val="2"/>
        </w:numPr>
        <w:bidi w:val="0"/>
        <w:spacing w:before="260" w:after="260" w:line="415" w:lineRule="auto"/>
        <w:ind w:left="0" w:leftChars="0" w:firstLine="0" w:firstLineChars="0"/>
        <w:jc w:val="both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64" w:name="_Toc14490"/>
      <w:bookmarkStart w:id="65" w:name="_Toc24138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勘察工程项目台账</w:t>
      </w:r>
      <w:bookmarkEnd w:id="64"/>
      <w:bookmarkEnd w:id="65"/>
    </w:p>
    <w:p w14:paraId="651431A4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选中“勘察会签项目”、“勘察开工告知”、“勘察会签报告”、“施工图审查”任一统计板块后，点击下方的“详情”，即可跳转至勘察工程项目台账，如下图所示：</w:t>
      </w:r>
    </w:p>
    <w:p w14:paraId="0FB018D6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291455" cy="2717165"/>
            <wp:effectExtent l="0" t="0" r="4445" b="635"/>
            <wp:docPr id="72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91455" cy="27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8DAB7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勘察项目台账实现查询及详情查看，包括查看项目信息、会签报告等信息，如下图所示：</w:t>
      </w:r>
    </w:p>
    <w:p w14:paraId="5F3E3EF5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4984115" cy="2343150"/>
            <wp:effectExtent l="0" t="0" r="6985" b="6350"/>
            <wp:docPr id="9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9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98411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E1A71">
      <w:pPr>
        <w:keepNext/>
        <w:keepLines/>
        <w:widowControl w:val="0"/>
        <w:numPr>
          <w:ilvl w:val="2"/>
          <w:numId w:val="2"/>
        </w:numPr>
        <w:bidi w:val="0"/>
        <w:spacing w:after="260" w:line="415" w:lineRule="auto"/>
        <w:ind w:left="0" w:leftChars="0" w:firstLine="0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66" w:name="_Toc18608"/>
      <w:bookmarkStart w:id="67" w:name="_Toc23518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查看工程项目详情</w:t>
      </w:r>
      <w:bookmarkEnd w:id="66"/>
      <w:bookmarkEnd w:id="67"/>
    </w:p>
    <w:p w14:paraId="0BF6DDF4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用户可根据需求选择任一项目，点击其“查看工程项目”按钮即可跳转至工程项目详情页面，如下图所示：</w:t>
      </w:r>
    </w:p>
    <w:p w14:paraId="456D0574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188585" cy="2439035"/>
            <wp:effectExtent l="0" t="0" r="5715" b="12065"/>
            <wp:docPr id="9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9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188585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B83B7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工程项目详情页面如下图所示：</w:t>
      </w:r>
    </w:p>
    <w:p w14:paraId="7DE6DE8E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128895" cy="3012440"/>
            <wp:effectExtent l="0" t="0" r="1905" b="10160"/>
            <wp:docPr id="6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13"/>
                    <pic:cNvPicPr>
                      <a:picLocks noChangeAspect="1"/>
                    </pic:cNvPicPr>
                  </pic:nvPicPr>
                  <pic:blipFill>
                    <a:blip r:embed="rId42">
                      <a:alphaModFix amt="9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1B779">
      <w:pPr>
        <w:keepNext/>
        <w:keepLines/>
        <w:widowControl w:val="0"/>
        <w:numPr>
          <w:ilvl w:val="2"/>
          <w:numId w:val="2"/>
        </w:numPr>
        <w:bidi w:val="0"/>
        <w:spacing w:after="260" w:line="415" w:lineRule="auto"/>
        <w:ind w:left="0" w:leftChars="0" w:firstLine="0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68" w:name="_Toc27914"/>
      <w:bookmarkStart w:id="69" w:name="_Toc14552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查看会签报告</w:t>
      </w:r>
      <w:bookmarkEnd w:id="68"/>
      <w:bookmarkEnd w:id="69"/>
    </w:p>
    <w:p w14:paraId="1109E38B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待勘察项目已生成会签报告，用户可点击“查看会签报告”跳转至勘察会签报告页面进行查阅，如下图所示：</w:t>
      </w:r>
    </w:p>
    <w:p w14:paraId="225D8717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191125" cy="2440305"/>
            <wp:effectExtent l="0" t="0" r="3175" b="10795"/>
            <wp:docPr id="9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19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DAB22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勘察会签报告页面如下图所示：</w:t>
      </w:r>
    </w:p>
    <w:p w14:paraId="6810EAEB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451475" cy="3260090"/>
            <wp:effectExtent l="0" t="0" r="9525" b="3810"/>
            <wp:docPr id="6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51475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4CF84">
      <w:pPr>
        <w:keepNext/>
        <w:keepLines/>
        <w:widowControl w:val="0"/>
        <w:numPr>
          <w:ilvl w:val="1"/>
          <w:numId w:val="2"/>
        </w:numPr>
        <w:bidi w:val="0"/>
        <w:spacing w:before="260" w:after="260" w:line="415" w:lineRule="auto"/>
        <w:ind w:left="0" w:leftChars="0" w:firstLine="0" w:firstLineChars="0"/>
        <w:jc w:val="both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70" w:name="_Toc17530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勘察整改项目台账</w:t>
      </w:r>
      <w:bookmarkEnd w:id="70"/>
    </w:p>
    <w:p w14:paraId="41BE5889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选中“勘察整改项目”统计板块后，点击下方的“详情”，即可跳转至勘察整改项目台账，如下图所示：</w:t>
      </w:r>
    </w:p>
    <w:p w14:paraId="010B0601">
      <w:pPr>
        <w:pStyle w:val="2"/>
        <w:ind w:left="0" w:leftChars="0" w:firstLine="0" w:firstLineChars="0"/>
        <w:rPr>
          <w:rFonts w:hint="default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r>
        <w:drawing>
          <wp:inline distT="0" distB="0" distL="114300" distR="114300">
            <wp:extent cx="5354320" cy="2483485"/>
            <wp:effectExtent l="0" t="0" r="0" b="0"/>
            <wp:docPr id="5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7"/>
                    <pic:cNvPicPr>
                      <a:picLocks noChangeAspect="1"/>
                    </pic:cNvPicPr>
                  </pic:nvPicPr>
                  <pic:blipFill>
                    <a:blip r:embed="rId61"/>
                    <a:srcRect t="6480"/>
                    <a:stretch>
                      <a:fillRect/>
                    </a:stretch>
                  </pic:blipFill>
                  <pic:spPr>
                    <a:xfrm>
                      <a:off x="0" y="0"/>
                      <a:ext cx="535432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F8D25">
      <w:pPr>
        <w:widowControl w:val="0"/>
        <w:spacing w:after="120" w:line="360" w:lineRule="auto"/>
        <w:ind w:left="0" w:leftChars="0" w:firstLine="420" w:firstLineChars="0"/>
        <w:jc w:val="both"/>
        <w:rPr>
          <w:rFonts w:hint="default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监管单位在勘察安全整改项目台账中对2025年5月1日以后完成勘察、又未按要求进行勘察会签项目的勘察安全情况进行逐一确认，具体操作步骤如下：</w:t>
      </w:r>
    </w:p>
    <w:p w14:paraId="3B43F440">
      <w:pPr>
        <w:pStyle w:val="2"/>
        <w:ind w:left="0" w:leftChars="0" w:firstLine="420" w:firstLineChars="0"/>
        <w:rPr>
          <w:rFonts w:hint="default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第一步：选中状态为“待处理”的项目，并点击“处理”按钮，跳转至勘察整改详情页面，如下图所示：</w:t>
      </w:r>
    </w:p>
    <w:p w14:paraId="1A4EBEDB">
      <w:pPr>
        <w:pStyle w:val="2"/>
        <w:ind w:left="0" w:leftChars="0" w:firstLine="0" w:firstLineChars="0"/>
      </w:pPr>
      <w:r>
        <w:drawing>
          <wp:inline distT="0" distB="0" distL="114300" distR="114300">
            <wp:extent cx="5100320" cy="2569845"/>
            <wp:effectExtent l="0" t="0" r="5080" b="8255"/>
            <wp:docPr id="50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10032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45024">
      <w:pPr>
        <w:pStyle w:val="2"/>
        <w:ind w:left="0" w:leftChars="0" w:firstLine="420" w:firstLineChars="0"/>
        <w:rPr>
          <w:rFonts w:hint="default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第二步：监管单位在详情页面，需根据实际情况判断是否通过，若通过则点击“通过”按钮，通过后，系统会自动生成勘察安全整改报告，如下图所示：</w:t>
      </w:r>
    </w:p>
    <w:p w14:paraId="2D0996B9">
      <w:pPr>
        <w:pStyle w:val="2"/>
        <w:ind w:left="0" w:leftChars="0" w:firstLine="0" w:firstLineChars="0"/>
      </w:pPr>
      <w:r>
        <w:drawing>
          <wp:inline distT="0" distB="0" distL="114300" distR="114300">
            <wp:extent cx="5361305" cy="2587625"/>
            <wp:effectExtent l="0" t="0" r="0" b="0"/>
            <wp:docPr id="4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2"/>
                    <pic:cNvPicPr>
                      <a:picLocks noChangeAspect="1"/>
                    </pic:cNvPicPr>
                  </pic:nvPicPr>
                  <pic:blipFill>
                    <a:blip r:embed="rId46"/>
                    <a:srcRect t="6472"/>
                    <a:stretch>
                      <a:fillRect/>
                    </a:stretch>
                  </pic:blipFill>
                  <pic:spPr>
                    <a:xfrm>
                      <a:off x="0" y="0"/>
                      <a:ext cx="5361305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B1FD4">
      <w:pPr>
        <w:pStyle w:val="2"/>
        <w:ind w:left="0" w:leftChars="0" w:firstLine="420" w:firstLineChars="0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勘察安全整改报告如下图所示：</w:t>
      </w:r>
    </w:p>
    <w:p w14:paraId="1AE5F6BD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359400" cy="2806700"/>
            <wp:effectExtent l="0" t="0" r="0" b="0"/>
            <wp:docPr id="4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CFDF4">
      <w:pPr>
        <w:keepNext/>
        <w:keepLines/>
        <w:widowControl w:val="0"/>
        <w:numPr>
          <w:ilvl w:val="1"/>
          <w:numId w:val="2"/>
        </w:numPr>
        <w:bidi w:val="0"/>
        <w:spacing w:before="260" w:after="260" w:line="415" w:lineRule="auto"/>
        <w:ind w:left="0" w:leftChars="0" w:firstLine="0" w:firstLineChars="0"/>
        <w:jc w:val="both"/>
        <w:outlineLvl w:val="1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71" w:name="_Toc11806"/>
      <w:bookmarkStart w:id="72" w:name="_Toc3794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勘察异常项目台账</w:t>
      </w:r>
      <w:bookmarkEnd w:id="71"/>
      <w:bookmarkEnd w:id="72"/>
    </w:p>
    <w:p w14:paraId="31C881EA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选中“勘察异常项目”统计板块后，点击下方的“详情”，即可跳转至勘察异常项目台账，如下图所示：</w:t>
      </w:r>
    </w:p>
    <w:p w14:paraId="45950A4A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235575" cy="2688590"/>
            <wp:effectExtent l="0" t="0" r="9525" b="3810"/>
            <wp:docPr id="95" name="图片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12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35575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B36E9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勘察异常项目台账是从施工图审查系统中拉取2025年5月1日前已完成勘察的项目进行预警，由监管单位核实材料的真实性，如下图所示：</w:t>
      </w:r>
    </w:p>
    <w:p w14:paraId="6A07E44E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097780" cy="2230120"/>
            <wp:effectExtent l="0" t="0" r="7620" b="5080"/>
            <wp:docPr id="32" name="图片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1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14143">
      <w:pPr>
        <w:keepNext/>
        <w:keepLines/>
        <w:widowControl w:val="0"/>
        <w:numPr>
          <w:ilvl w:val="2"/>
          <w:numId w:val="2"/>
        </w:numPr>
        <w:bidi w:val="0"/>
        <w:spacing w:after="260" w:line="415" w:lineRule="auto"/>
        <w:ind w:left="0" w:firstLine="0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73" w:name="_Toc10559"/>
      <w:bookmarkStart w:id="74" w:name="_Toc7341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核实</w:t>
      </w:r>
      <w:bookmarkEnd w:id="73"/>
      <w:bookmarkEnd w:id="74"/>
    </w:p>
    <w:p w14:paraId="551E8EBC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根据需求选中任一项目并点击其“核实”按钮，即可弹出至核实页面，如下图所示：</w:t>
      </w:r>
    </w:p>
    <w:p w14:paraId="0EA71025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097780" cy="2230120"/>
            <wp:effectExtent l="0" t="0" r="7620" b="5080"/>
            <wp:docPr id="93" name="图片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31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81C70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核实操作步骤如下：</w:t>
      </w:r>
    </w:p>
    <w:p w14:paraId="185CBA92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根据材料判断是否核实通过，若核实通过，勾选为核实通过即可点击“完成核实”按钮完成核实，如下图所示：</w:t>
      </w:r>
    </w:p>
    <w:p w14:paraId="72B8ADD3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156200" cy="3009265"/>
            <wp:effectExtent l="0" t="0" r="0" b="635"/>
            <wp:docPr id="84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3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82546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若不通过，则勾选为核实不通过并填写情况说明，并点击“完成核实”按钮完成核实，如下图所示：</w:t>
      </w:r>
    </w:p>
    <w:p w14:paraId="1FC67FCA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240655" cy="3175000"/>
            <wp:effectExtent l="0" t="0" r="4445" b="0"/>
            <wp:docPr id="8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3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D8A9F">
      <w:pPr>
        <w:keepNext/>
        <w:keepLines/>
        <w:widowControl w:val="0"/>
        <w:numPr>
          <w:ilvl w:val="2"/>
          <w:numId w:val="2"/>
        </w:numPr>
        <w:bidi w:val="0"/>
        <w:spacing w:after="260" w:line="415" w:lineRule="auto"/>
        <w:ind w:left="0" w:firstLine="0" w:firstLineChars="0"/>
        <w:jc w:val="both"/>
        <w:outlineLvl w:val="2"/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</w:pPr>
      <w:bookmarkStart w:id="75" w:name="_Toc18188"/>
      <w:bookmarkStart w:id="76" w:name="_Toc27147"/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查看详情</w:t>
      </w:r>
      <w:bookmarkEnd w:id="75"/>
      <w:bookmarkEnd w:id="76"/>
    </w:p>
    <w:p w14:paraId="7F3AD8F3">
      <w:pPr>
        <w:spacing w:line="36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lang w:val="en-US" w:eastAsia="zh-CN"/>
        </w:rPr>
        <w:t>根据需求选中任一异常项目，点击其“查看”即可弹出详情信息，如下图所示：</w:t>
      </w:r>
    </w:p>
    <w:p w14:paraId="1824CB7F">
      <w:pPr>
        <w:spacing w:line="360" w:lineRule="auto"/>
        <w:ind w:left="0" w:leftChars="0" w:firstLine="0" w:firstLineChars="0"/>
        <w:rPr>
          <w:rFonts w:hint="eastAsia" w:ascii="方正仿宋_GB2312" w:hAnsi="方正仿宋_GB2312" w:eastAsia="方正仿宋_GB2312" w:cs="方正仿宋_GB2312"/>
          <w:sz w:val="28"/>
        </w:rPr>
      </w:pPr>
      <w:r>
        <w:rPr>
          <w:rFonts w:hint="eastAsia" w:ascii="方正仿宋_GB2312" w:hAnsi="方正仿宋_GB2312" w:eastAsia="方正仿宋_GB2312" w:cs="方正仿宋_GB2312"/>
          <w:sz w:val="28"/>
        </w:rPr>
        <w:drawing>
          <wp:inline distT="0" distB="0" distL="114300" distR="114300">
            <wp:extent cx="5097780" cy="2230120"/>
            <wp:effectExtent l="0" t="0" r="7620" b="5080"/>
            <wp:docPr id="94" name="图片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31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09778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AE0E8">
      <w:pPr>
        <w:widowControl w:val="0"/>
        <w:spacing w:after="120" w:line="360" w:lineRule="auto"/>
        <w:ind w:left="0" w:leftChars="0" w:firstLine="42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t>详情页面如下图所示：</w:t>
      </w:r>
    </w:p>
    <w:p w14:paraId="187394CD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  <w:drawing>
          <wp:inline distT="0" distB="0" distL="114300" distR="114300">
            <wp:extent cx="5495290" cy="2917190"/>
            <wp:effectExtent l="0" t="0" r="3810" b="3810"/>
            <wp:docPr id="87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33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495290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748EE">
      <w:pPr>
        <w:widowControl w:val="0"/>
        <w:spacing w:after="120" w:line="360" w:lineRule="auto"/>
        <w:ind w:left="0" w:leftChars="0" w:firstLine="0" w:firstLineChars="0"/>
        <w:jc w:val="both"/>
        <w:rPr>
          <w:rFonts w:hint="eastAsia" w:ascii="方正仿宋_GB2312" w:hAnsi="方正仿宋_GB2312" w:eastAsia="方正仿宋_GB2312" w:cs="方正仿宋_GB2312"/>
          <w:kern w:val="2"/>
          <w:sz w:val="28"/>
          <w:szCs w:val="24"/>
          <w:lang w:val="en-US" w:eastAsia="zh-CN" w:bidi="ar-SA"/>
        </w:rPr>
      </w:pPr>
    </w:p>
    <w:p w14:paraId="7EA94C77">
      <w:pPr>
        <w:rPr>
          <w:rFonts w:hint="eastAsia" w:ascii="方正仿宋_GB2312" w:hAnsi="方正仿宋_GB2312" w:eastAsia="方正仿宋_GB2312" w:cs="方正仿宋_GB2312"/>
        </w:rPr>
      </w:pPr>
    </w:p>
    <w:sectPr>
      <w:headerReference r:id="rId7" w:type="default"/>
      <w:footerReference r:id="rId8" w:type="default"/>
      <w:pgSz w:w="11850" w:h="16783"/>
      <w:pgMar w:top="1440" w:right="1701" w:bottom="1276" w:left="1701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3B52812-158F-4C33-9704-2F5FD442C1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974DF8D-4578-4F5F-A81C-69F5619B0277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7E5A11F-B2C5-464D-B9B5-B6A2337204C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611BECE-A52C-4256-8CFB-0431199882B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CA83BA">
    <w:pPr>
      <w:widowControl w:val="0"/>
      <w:snapToGrid w:val="0"/>
      <w:spacing w:line="360" w:lineRule="auto"/>
      <w:ind w:firstLine="360" w:firstLineChars="200"/>
      <w:jc w:val="left"/>
      <w:rPr>
        <w:rFonts w:eastAsia="宋体" w:asciiTheme="minorHAnsi" w:hAnsiTheme="minorHAnsi" w:cstheme="minorBidi"/>
        <w:kern w:val="2"/>
        <w:sz w:val="18"/>
        <w:szCs w:val="24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FBCEDD">
    <w:pPr>
      <w:widowControl w:val="0"/>
      <w:snapToGrid w:val="0"/>
      <w:spacing w:line="360" w:lineRule="auto"/>
      <w:ind w:firstLine="360" w:firstLineChars="200"/>
      <w:jc w:val="left"/>
      <w:rPr>
        <w:rFonts w:eastAsia="宋体" w:asciiTheme="minorHAnsi" w:hAnsiTheme="minorHAnsi" w:cstheme="minorBidi"/>
        <w:kern w:val="2"/>
        <w:sz w:val="18"/>
        <w:szCs w:val="24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B73A01">
    <w:pPr>
      <w:pStyle w:val="9"/>
      <w:jc w:val="center"/>
      <w:rPr>
        <w:rFonts w:ascii="方正仿宋_GB2312" w:eastAsia="方正仿宋_GB2312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E8DF6A">
                          <w:pPr>
                            <w:pStyle w:val="9"/>
                            <w:jc w:val="center"/>
                          </w:pPr>
                          <w:r>
                            <w:rPr>
                              <w:rFonts w:ascii="方正仿宋_GB2312" w:eastAsia="方正仿宋_GB2312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Style w:val="17"/>
                              <w:rFonts w:ascii="方正仿宋_GB2312" w:eastAsia="方正仿宋_GB2312"/>
                              <w:sz w:val="21"/>
                              <w:szCs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方正仿宋_GB2312" w:eastAsia="方正仿宋_GB2312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Style w:val="17"/>
                              <w:rFonts w:ascii="方正仿宋_GB2312" w:eastAsia="方正仿宋_GB2312"/>
                              <w:sz w:val="21"/>
                              <w:szCs w:val="21"/>
                            </w:rPr>
                            <w:t>3</w:t>
                          </w:r>
                          <w:r>
                            <w:rPr>
                              <w:rFonts w:ascii="方正仿宋_GB2312" w:eastAsia="方正仿宋_GB2312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E8DF6A">
                    <w:pPr>
                      <w:pStyle w:val="9"/>
                      <w:jc w:val="center"/>
                    </w:pPr>
                    <w:r>
                      <w:rPr>
                        <w:rFonts w:ascii="方正仿宋_GB2312" w:eastAsia="方正仿宋_GB2312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Style w:val="17"/>
                        <w:rFonts w:ascii="方正仿宋_GB2312" w:eastAsia="方正仿宋_GB2312"/>
                        <w:sz w:val="21"/>
                        <w:szCs w:val="21"/>
                      </w:rPr>
                      <w:instrText xml:space="preserve"> PAGE </w:instrText>
                    </w:r>
                    <w:r>
                      <w:rPr>
                        <w:rFonts w:ascii="方正仿宋_GB2312" w:eastAsia="方正仿宋_GB2312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Style w:val="17"/>
                        <w:rFonts w:ascii="方正仿宋_GB2312" w:eastAsia="方正仿宋_GB2312"/>
                        <w:sz w:val="21"/>
                        <w:szCs w:val="21"/>
                      </w:rPr>
                      <w:t>3</w:t>
                    </w:r>
                    <w:r>
                      <w:rPr>
                        <w:rFonts w:ascii="方正仿宋_GB2312" w:eastAsia="方正仿宋_GB2312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E48328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ind w:firstLine="360" w:firstLineChars="200"/>
      <w:jc w:val="both"/>
      <w:rPr>
        <w:rFonts w:eastAsia="宋体" w:asciiTheme="minorHAnsi" w:hAnsiTheme="minorHAnsi" w:cstheme="minorBidi"/>
        <w:kern w:val="2"/>
        <w:sz w:val="18"/>
        <w:szCs w:val="24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DA2C2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ind w:firstLine="360" w:firstLineChars="200"/>
      <w:jc w:val="both"/>
      <w:rPr>
        <w:rFonts w:eastAsia="宋体" w:asciiTheme="minorHAnsi" w:hAnsiTheme="minorHAnsi" w:cstheme="minorBidi"/>
        <w:kern w:val="2"/>
        <w:sz w:val="18"/>
        <w:szCs w:val="24"/>
        <w:lang w:val="en-US" w:eastAsia="zh-CN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59CD2">
    <w:pPr>
      <w:pStyle w:val="1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9AC651"/>
    <w:multiLevelType w:val="multilevel"/>
    <w:tmpl w:val="CA9AC651"/>
    <w:lvl w:ilvl="0" w:tentative="0">
      <w:start w:val="1"/>
      <w:numFmt w:val="decimal"/>
      <w:pStyle w:val="4"/>
      <w:suff w:val="nothing"/>
      <w:lvlText w:val="%1  "/>
      <w:lvlJc w:val="left"/>
      <w:pPr>
        <w:tabs>
          <w:tab w:val="left" w:pos="420"/>
        </w:tabs>
        <w:ind w:left="432" w:hanging="432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pStyle w:val="5"/>
      <w:isLgl/>
      <w:lvlText w:val="%1.%2  "/>
      <w:lvlJc w:val="left"/>
      <w:pPr>
        <w:tabs>
          <w:tab w:val="left" w:pos="420"/>
        </w:tabs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  "/>
      <w:lvlJc w:val="left"/>
      <w:pPr>
        <w:tabs>
          <w:tab w:val="left" w:pos="420"/>
        </w:tabs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  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  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617DB95B"/>
    <w:multiLevelType w:val="multilevel"/>
    <w:tmpl w:val="617DB95B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6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29487ECB"/>
    <w:rsid w:val="000D25BA"/>
    <w:rsid w:val="002149B9"/>
    <w:rsid w:val="00221561"/>
    <w:rsid w:val="00532313"/>
    <w:rsid w:val="00542243"/>
    <w:rsid w:val="00642562"/>
    <w:rsid w:val="00A73177"/>
    <w:rsid w:val="00B7748A"/>
    <w:rsid w:val="00B90C32"/>
    <w:rsid w:val="00D10229"/>
    <w:rsid w:val="00D6645D"/>
    <w:rsid w:val="00FF0AB2"/>
    <w:rsid w:val="02770EE8"/>
    <w:rsid w:val="03297D65"/>
    <w:rsid w:val="073C1416"/>
    <w:rsid w:val="0784511E"/>
    <w:rsid w:val="08B32639"/>
    <w:rsid w:val="0BA07AFE"/>
    <w:rsid w:val="12DB7AB2"/>
    <w:rsid w:val="183608AF"/>
    <w:rsid w:val="1F3031B6"/>
    <w:rsid w:val="215A1EDA"/>
    <w:rsid w:val="21D7576A"/>
    <w:rsid w:val="291458F7"/>
    <w:rsid w:val="29487ECB"/>
    <w:rsid w:val="2B9E0B05"/>
    <w:rsid w:val="31FF2409"/>
    <w:rsid w:val="39453E84"/>
    <w:rsid w:val="3A886145"/>
    <w:rsid w:val="3B240915"/>
    <w:rsid w:val="3B55589E"/>
    <w:rsid w:val="3C292943"/>
    <w:rsid w:val="3CF655E7"/>
    <w:rsid w:val="43346FD6"/>
    <w:rsid w:val="433A7E1F"/>
    <w:rsid w:val="44580936"/>
    <w:rsid w:val="474F5CEF"/>
    <w:rsid w:val="47F12EF8"/>
    <w:rsid w:val="4D1537D6"/>
    <w:rsid w:val="57017014"/>
    <w:rsid w:val="5DB91FED"/>
    <w:rsid w:val="5DFE3EA4"/>
    <w:rsid w:val="606C29F4"/>
    <w:rsid w:val="60C4293E"/>
    <w:rsid w:val="61CB5106"/>
    <w:rsid w:val="63CD05A1"/>
    <w:rsid w:val="68F073A9"/>
    <w:rsid w:val="6B5C5C1E"/>
    <w:rsid w:val="6E5A0455"/>
    <w:rsid w:val="719721EE"/>
    <w:rsid w:val="73B50543"/>
    <w:rsid w:val="73DD4830"/>
    <w:rsid w:val="75E35477"/>
    <w:rsid w:val="764F6F6F"/>
    <w:rsid w:val="77C73421"/>
    <w:rsid w:val="BF9F5F35"/>
    <w:rsid w:val="FFFED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keepNext/>
      <w:keepLines/>
      <w:pageBreakBefore/>
      <w:numPr>
        <w:ilvl w:val="0"/>
        <w:numId w:val="1"/>
      </w:numPr>
      <w:spacing w:before="100" w:beforeLines="100" w:beforeAutospacing="0" w:after="80" w:afterLines="80" w:afterAutospacing="0" w:line="300" w:lineRule="auto"/>
      <w:ind w:left="432" w:right="0" w:rightChars="0" w:hanging="432" w:firstLineChars="0"/>
      <w:jc w:val="left"/>
      <w:outlineLvl w:val="0"/>
    </w:pPr>
    <w:rPr>
      <w:rFonts w:eastAsia="黑体" w:asciiTheme="minorAscii" w:hAnsiTheme="minorAscii"/>
      <w:b/>
      <w:kern w:val="44"/>
      <w:sz w:val="36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adjustRightInd w:val="0"/>
      <w:spacing w:before="50" w:beforeLines="50" w:beforeAutospacing="0" w:after="50" w:afterLines="50" w:afterAutospacing="0" w:line="300" w:lineRule="auto"/>
      <w:ind w:left="575" w:hanging="575"/>
      <w:jc w:val="left"/>
      <w:outlineLvl w:val="1"/>
    </w:pPr>
    <w:rPr>
      <w:rFonts w:ascii="Times New Roman" w:hAnsi="Times New Roman" w:eastAsia="黑体"/>
      <w:sz w:val="30"/>
    </w:rPr>
  </w:style>
  <w:style w:type="paragraph" w:styleId="6">
    <w:name w:val="heading 3"/>
    <w:basedOn w:val="1"/>
    <w:next w:val="1"/>
    <w:autoRedefine/>
    <w:unhideWhenUsed/>
    <w:qFormat/>
    <w:uiPriority w:val="9"/>
    <w:pPr>
      <w:keepNext/>
      <w:keepLines/>
      <w:numPr>
        <w:ilvl w:val="2"/>
        <w:numId w:val="2"/>
      </w:numPr>
      <w:spacing w:after="260" w:line="415" w:lineRule="auto"/>
      <w:ind w:left="0" w:firstLine="0" w:firstLineChars="0"/>
      <w:outlineLvl w:val="2"/>
    </w:pPr>
    <w:rPr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Body Text"/>
    <w:basedOn w:val="1"/>
    <w:qFormat/>
    <w:uiPriority w:val="0"/>
    <w:pPr>
      <w:spacing w:after="120"/>
    </w:pPr>
    <w:rPr>
      <w:rFonts w:cs="Times New Roman"/>
    </w:rPr>
  </w:style>
  <w:style w:type="paragraph" w:styleId="8">
    <w:name w:val="toc 3"/>
    <w:basedOn w:val="1"/>
    <w:next w:val="1"/>
    <w:qFormat/>
    <w:uiPriority w:val="39"/>
    <w:pPr>
      <w:ind w:left="400" w:leftChars="400" w:firstLine="0" w:firstLineChars="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1">
    <w:name w:val="toc 1"/>
    <w:basedOn w:val="1"/>
    <w:next w:val="1"/>
    <w:qFormat/>
    <w:uiPriority w:val="39"/>
    <w:pPr>
      <w:ind w:firstLine="0" w:firstLineChars="0"/>
    </w:pPr>
  </w:style>
  <w:style w:type="paragraph" w:styleId="12">
    <w:name w:val="toc 2"/>
    <w:basedOn w:val="1"/>
    <w:next w:val="1"/>
    <w:qFormat/>
    <w:uiPriority w:val="39"/>
    <w:pPr>
      <w:ind w:left="200" w:leftChars="200" w:firstLine="0" w:firstLineChars="0"/>
    </w:pPr>
  </w:style>
  <w:style w:type="paragraph" w:styleId="13">
    <w:name w:val="Normal (Web)"/>
    <w:basedOn w:val="1"/>
    <w:qFormat/>
    <w:uiPriority w:val="0"/>
    <w:rPr>
      <w:sz w:val="24"/>
    </w:rPr>
  </w:style>
  <w:style w:type="paragraph" w:styleId="14">
    <w:name w:val="Body Text First Indent"/>
    <w:basedOn w:val="7"/>
    <w:unhideWhenUsed/>
    <w:qFormat/>
    <w:uiPriority w:val="99"/>
    <w:pPr>
      <w:ind w:firstLine="420" w:firstLineChars="100"/>
    </w:pPr>
  </w:style>
  <w:style w:type="character" w:styleId="17">
    <w:name w:val="page number"/>
    <w:qFormat/>
    <w:uiPriority w:val="0"/>
  </w:style>
  <w:style w:type="character" w:styleId="18">
    <w:name w:val="FollowedHyperlink"/>
    <w:basedOn w:val="16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Hyperlink"/>
    <w:basedOn w:val="16"/>
    <w:qFormat/>
    <w:uiPriority w:val="0"/>
    <w:rPr>
      <w:color w:val="0000FF"/>
      <w:u w:val="single"/>
    </w:rPr>
  </w:style>
  <w:style w:type="paragraph" w:customStyle="1" w:styleId="20">
    <w:name w:val="TOC 标题2"/>
    <w:basedOn w:val="4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9" Type="http://schemas.openxmlformats.org/officeDocument/2006/relationships/fontTable" Target="fontTable.xml"/><Relationship Id="rId68" Type="http://schemas.openxmlformats.org/officeDocument/2006/relationships/numbering" Target="numbering.xml"/><Relationship Id="rId67" Type="http://schemas.openxmlformats.org/officeDocument/2006/relationships/customXml" Target="../customXml/item1.xml"/><Relationship Id="rId66" Type="http://schemas.openxmlformats.org/officeDocument/2006/relationships/image" Target="media/image57.png"/><Relationship Id="rId65" Type="http://schemas.openxmlformats.org/officeDocument/2006/relationships/image" Target="media/image56.png"/><Relationship Id="rId64" Type="http://schemas.openxmlformats.org/officeDocument/2006/relationships/image" Target="media/image55.png"/><Relationship Id="rId63" Type="http://schemas.openxmlformats.org/officeDocument/2006/relationships/image" Target="media/image54.png"/><Relationship Id="rId62" Type="http://schemas.openxmlformats.org/officeDocument/2006/relationships/image" Target="media/image53.png"/><Relationship Id="rId61" Type="http://schemas.openxmlformats.org/officeDocument/2006/relationships/image" Target="media/image52.png"/><Relationship Id="rId60" Type="http://schemas.openxmlformats.org/officeDocument/2006/relationships/image" Target="media/image51.png"/><Relationship Id="rId6" Type="http://schemas.openxmlformats.org/officeDocument/2006/relationships/footer" Target="footer2.xml"/><Relationship Id="rId59" Type="http://schemas.openxmlformats.org/officeDocument/2006/relationships/image" Target="media/image50.png"/><Relationship Id="rId58" Type="http://schemas.openxmlformats.org/officeDocument/2006/relationships/image" Target="media/image49.png"/><Relationship Id="rId57" Type="http://schemas.openxmlformats.org/officeDocument/2006/relationships/image" Target="media/image48.png"/><Relationship Id="rId56" Type="http://schemas.openxmlformats.org/officeDocument/2006/relationships/image" Target="media/image47.png"/><Relationship Id="rId55" Type="http://schemas.openxmlformats.org/officeDocument/2006/relationships/image" Target="media/image46.png"/><Relationship Id="rId54" Type="http://schemas.openxmlformats.org/officeDocument/2006/relationships/image" Target="media/image45.png"/><Relationship Id="rId53" Type="http://schemas.openxmlformats.org/officeDocument/2006/relationships/image" Target="media/image44.png"/><Relationship Id="rId52" Type="http://schemas.openxmlformats.org/officeDocument/2006/relationships/image" Target="media/image43.png"/><Relationship Id="rId51" Type="http://schemas.openxmlformats.org/officeDocument/2006/relationships/image" Target="media/image42.png"/><Relationship Id="rId50" Type="http://schemas.openxmlformats.org/officeDocument/2006/relationships/image" Target="media/image41.png"/><Relationship Id="rId5" Type="http://schemas.openxmlformats.org/officeDocument/2006/relationships/footer" Target="footer1.xml"/><Relationship Id="rId49" Type="http://schemas.openxmlformats.org/officeDocument/2006/relationships/image" Target="media/image40.png"/><Relationship Id="rId48" Type="http://schemas.openxmlformats.org/officeDocument/2006/relationships/image" Target="media/image39.png"/><Relationship Id="rId47" Type="http://schemas.openxmlformats.org/officeDocument/2006/relationships/image" Target="media/image38.png"/><Relationship Id="rId46" Type="http://schemas.openxmlformats.org/officeDocument/2006/relationships/image" Target="media/image37.png"/><Relationship Id="rId45" Type="http://schemas.openxmlformats.org/officeDocument/2006/relationships/image" Target="media/image36.png"/><Relationship Id="rId44" Type="http://schemas.openxmlformats.org/officeDocument/2006/relationships/image" Target="media/image35.png"/><Relationship Id="rId43" Type="http://schemas.openxmlformats.org/officeDocument/2006/relationships/image" Target="media/image34.png"/><Relationship Id="rId42" Type="http://schemas.openxmlformats.org/officeDocument/2006/relationships/image" Target="media/image33.png"/><Relationship Id="rId41" Type="http://schemas.openxmlformats.org/officeDocument/2006/relationships/image" Target="media/image32.png"/><Relationship Id="rId40" Type="http://schemas.openxmlformats.org/officeDocument/2006/relationships/image" Target="media/image31.png"/><Relationship Id="rId4" Type="http://schemas.openxmlformats.org/officeDocument/2006/relationships/header" Target="header2.xml"/><Relationship Id="rId39" Type="http://schemas.openxmlformats.org/officeDocument/2006/relationships/image" Target="media/image30.png"/><Relationship Id="rId38" Type="http://schemas.openxmlformats.org/officeDocument/2006/relationships/image" Target="media/image29.png"/><Relationship Id="rId37" Type="http://schemas.openxmlformats.org/officeDocument/2006/relationships/image" Target="media/image28.png"/><Relationship Id="rId36" Type="http://schemas.openxmlformats.org/officeDocument/2006/relationships/image" Target="media/image27.png"/><Relationship Id="rId35" Type="http://schemas.openxmlformats.org/officeDocument/2006/relationships/image" Target="media/image26.png"/><Relationship Id="rId34" Type="http://schemas.openxmlformats.org/officeDocument/2006/relationships/image" Target="media/image25.png"/><Relationship Id="rId33" Type="http://schemas.openxmlformats.org/officeDocument/2006/relationships/image" Target="media/image24.png"/><Relationship Id="rId32" Type="http://schemas.openxmlformats.org/officeDocument/2006/relationships/image" Target="media/image23.png"/><Relationship Id="rId31" Type="http://schemas.openxmlformats.org/officeDocument/2006/relationships/image" Target="media/image22.png"/><Relationship Id="rId30" Type="http://schemas.openxmlformats.org/officeDocument/2006/relationships/image" Target="media/image21.png"/><Relationship Id="rId3" Type="http://schemas.openxmlformats.org/officeDocument/2006/relationships/header" Target="header1.xml"/><Relationship Id="rId29" Type="http://schemas.openxmlformats.org/officeDocument/2006/relationships/image" Target="media/image20.png"/><Relationship Id="rId28" Type="http://schemas.openxmlformats.org/officeDocument/2006/relationships/image" Target="media/image19.png"/><Relationship Id="rId27" Type="http://schemas.openxmlformats.org/officeDocument/2006/relationships/image" Target="media/image18.png"/><Relationship Id="rId26" Type="http://schemas.openxmlformats.org/officeDocument/2006/relationships/image" Target="media/image17.png"/><Relationship Id="rId25" Type="http://schemas.openxmlformats.org/officeDocument/2006/relationships/image" Target="media/image16.png"/><Relationship Id="rId24" Type="http://schemas.openxmlformats.org/officeDocument/2006/relationships/image" Target="media/image15.png"/><Relationship Id="rId23" Type="http://schemas.openxmlformats.org/officeDocument/2006/relationships/image" Target="media/image14.png"/><Relationship Id="rId22" Type="http://schemas.openxmlformats.org/officeDocument/2006/relationships/image" Target="media/image13.png"/><Relationship Id="rId21" Type="http://schemas.openxmlformats.org/officeDocument/2006/relationships/image" Target="media/image12.png"/><Relationship Id="rId20" Type="http://schemas.openxmlformats.org/officeDocument/2006/relationships/image" Target="media/image11.png"/><Relationship Id="rId2" Type="http://schemas.openxmlformats.org/officeDocument/2006/relationships/settings" Target="settings.xml"/><Relationship Id="rId19" Type="http://schemas.openxmlformats.org/officeDocument/2006/relationships/image" Target="media/image10.png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jpe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41</Pages>
  <Words>4353</Words>
  <Characters>4619</Characters>
  <Lines>3</Lines>
  <Paragraphs>1</Paragraphs>
  <TotalTime>15</TotalTime>
  <ScaleCrop>false</ScaleCrop>
  <LinksUpToDate>false</LinksUpToDate>
  <CharactersWithSpaces>4777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2021-08-23T23:18:00Z</dcterms:created>
  <dc:creator>林木木</dc:creator>
  <cp:lastModifiedBy>黄逸海</cp:lastModifiedBy>
  <dcterms:modified xsi:type="dcterms:W3CDTF">2025-04-08T09:01:24Z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KSOTemplateDocerSaveRecord">
    <vt:lpwstr>eyJoZGlkIjoiNDQ0YmVjNjIyOWJjYzdhMzMyMjMzNjc1MDdiNmFjYmUiLCJ1c2VySWQiOiI3OTMxNTI3NTIifQ==</vt:lpwstr>
  </property>
  <property fmtid="{D5CDD505-2E9C-101B-9397-08002B2CF9AE}" pid="4" name="ICV">
    <vt:lpwstr>164B6824D2E74230BB8090242A499E5F_13</vt:lpwstr>
  </property>
</Properties>
</file>