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7029A">
      <w:pPr>
        <w:jc w:val="center"/>
        <w:rPr>
          <w:rFonts w:ascii="Times New Roman" w:hAnsi="Times New Roman" w:eastAsia="方正小标宋简体"/>
          <w:b/>
          <w:color w:val="000000" w:themeColor="text1"/>
          <w:sz w:val="96"/>
          <w:szCs w:val="52"/>
          <w14:textFill>
            <w14:solidFill>
              <w14:schemeClr w14:val="tx1"/>
            </w14:solidFill>
          </w14:textFill>
        </w:rPr>
      </w:pPr>
    </w:p>
    <w:p w14:paraId="7A6A987E">
      <w:pPr>
        <w:jc w:val="center"/>
        <w:rPr>
          <w:rFonts w:ascii="Times New Roman" w:hAnsi="Times New Roman" w:eastAsia="方正小标宋简体"/>
          <w:b/>
          <w:color w:val="000000" w:themeColor="text1"/>
          <w:sz w:val="96"/>
          <w:szCs w:val="52"/>
          <w14:textFill>
            <w14:solidFill>
              <w14:schemeClr w14:val="tx1"/>
            </w14:solidFill>
          </w14:textFill>
        </w:rPr>
      </w:pPr>
      <w:r>
        <w:rPr>
          <w:rFonts w:ascii="Times New Roman" w:hAnsi="Times New Roman" w:eastAsia="方正小标宋简体"/>
          <w:b/>
          <w:color w:val="000000" w:themeColor="text1"/>
          <w:sz w:val="96"/>
          <w:szCs w:val="52"/>
          <w14:textFill>
            <w14:solidFill>
              <w14:schemeClr w14:val="tx1"/>
            </w14:solidFill>
          </w14:textFill>
        </w:rPr>
        <w:t>广州市房地产中介 信用白皮书</w:t>
      </w:r>
    </w:p>
    <w:p w14:paraId="3A4998AB">
      <w:pPr>
        <w:jc w:val="center"/>
        <w:rPr>
          <w:rFonts w:ascii="Times New Roman" w:hAnsi="Times New Roman" w:eastAsia="黑体"/>
          <w:b/>
          <w:color w:val="000000" w:themeColor="text1"/>
          <w:sz w:val="52"/>
          <w:szCs w:val="52"/>
          <w14:textFill>
            <w14:solidFill>
              <w14:schemeClr w14:val="tx1"/>
            </w14:solidFill>
          </w14:textFill>
        </w:rPr>
      </w:pPr>
      <w:r>
        <w:rPr>
          <w:rFonts w:ascii="Times New Roman" w:hAnsi="Times New Roman" w:eastAsia="黑体"/>
          <w:b/>
          <w:color w:val="000000" w:themeColor="text1"/>
          <w:sz w:val="52"/>
          <w:szCs w:val="52"/>
          <w14:textFill>
            <w14:solidFill>
              <w14:schemeClr w14:val="tx1"/>
            </w14:solidFill>
          </w14:textFill>
        </w:rPr>
        <w:t>（2024年）</w:t>
      </w:r>
    </w:p>
    <w:p w14:paraId="3D9D14B3">
      <w:pPr>
        <w:spacing w:line="360" w:lineRule="auto"/>
        <w:jc w:val="center"/>
        <w:rPr>
          <w:rFonts w:ascii="Times New Roman" w:hAnsi="Times New Roman" w:eastAsia="黑体"/>
          <w:b/>
          <w:color w:val="FF0000"/>
          <w:sz w:val="52"/>
          <w:szCs w:val="52"/>
        </w:rPr>
      </w:pPr>
    </w:p>
    <w:p w14:paraId="305FDE33">
      <w:pPr>
        <w:spacing w:line="360" w:lineRule="auto"/>
        <w:jc w:val="center"/>
        <w:rPr>
          <w:rFonts w:ascii="Times New Roman" w:hAnsi="Times New Roman" w:eastAsia="黑体"/>
          <w:b/>
          <w:color w:val="FF0000"/>
          <w:sz w:val="52"/>
          <w:szCs w:val="52"/>
        </w:rPr>
      </w:pPr>
    </w:p>
    <w:p w14:paraId="35ED7E2C">
      <w:pPr>
        <w:spacing w:line="360" w:lineRule="auto"/>
        <w:jc w:val="center"/>
        <w:rPr>
          <w:rFonts w:ascii="Times New Roman" w:hAnsi="Times New Roman" w:eastAsia="黑体"/>
          <w:b/>
          <w:color w:val="FF0000"/>
          <w:sz w:val="52"/>
          <w:szCs w:val="52"/>
        </w:rPr>
      </w:pPr>
    </w:p>
    <w:p w14:paraId="5077897E">
      <w:pPr>
        <w:spacing w:line="360" w:lineRule="auto"/>
        <w:jc w:val="center"/>
        <w:rPr>
          <w:rFonts w:ascii="Times New Roman" w:hAnsi="Times New Roman" w:eastAsia="黑体"/>
          <w:b/>
          <w:color w:val="FF0000"/>
          <w:sz w:val="52"/>
          <w:szCs w:val="52"/>
        </w:rPr>
      </w:pPr>
    </w:p>
    <w:p w14:paraId="0040302A">
      <w:pPr>
        <w:spacing w:line="360" w:lineRule="auto"/>
        <w:jc w:val="center"/>
        <w:rPr>
          <w:rFonts w:ascii="Times New Roman" w:hAnsi="Times New Roman" w:eastAsia="黑体"/>
          <w:b/>
          <w:color w:val="FF0000"/>
          <w:sz w:val="52"/>
          <w:szCs w:val="52"/>
        </w:rPr>
      </w:pPr>
    </w:p>
    <w:p w14:paraId="6EE62926">
      <w:pPr>
        <w:spacing w:line="360" w:lineRule="auto"/>
        <w:jc w:val="center"/>
        <w:rPr>
          <w:rFonts w:ascii="Times New Roman" w:hAnsi="Times New Roman" w:eastAsia="黑体"/>
          <w:b/>
          <w:color w:val="FF0000"/>
          <w:sz w:val="52"/>
          <w:szCs w:val="52"/>
        </w:rPr>
      </w:pPr>
    </w:p>
    <w:p w14:paraId="1D168B59">
      <w:pPr>
        <w:spacing w:line="360" w:lineRule="auto"/>
        <w:jc w:val="center"/>
        <w:rPr>
          <w:rFonts w:ascii="Times New Roman" w:hAnsi="Times New Roman" w:eastAsia="黑体"/>
          <w:b/>
          <w:color w:val="000000" w:themeColor="text1"/>
          <w:sz w:val="36"/>
          <w:szCs w:val="52"/>
          <w14:textFill>
            <w14:solidFill>
              <w14:schemeClr w14:val="tx1"/>
            </w14:solidFill>
          </w14:textFill>
        </w:rPr>
      </w:pPr>
      <w:r>
        <w:rPr>
          <w:rFonts w:ascii="Times New Roman" w:hAnsi="Times New Roman" w:eastAsia="黑体"/>
          <w:b/>
          <w:color w:val="000000" w:themeColor="text1"/>
          <w:sz w:val="36"/>
          <w:szCs w:val="52"/>
          <w14:textFill>
            <w14:solidFill>
              <w14:schemeClr w14:val="tx1"/>
            </w14:solidFill>
          </w14:textFill>
        </w:rPr>
        <w:t>广州市房屋交易监管中心</w:t>
      </w:r>
    </w:p>
    <w:p w14:paraId="43149C1B">
      <w:pPr>
        <w:spacing w:line="360" w:lineRule="auto"/>
        <w:jc w:val="center"/>
        <w:rPr>
          <w:rFonts w:ascii="Times New Roman" w:hAnsi="Times New Roman" w:eastAsia="黑体"/>
          <w:b/>
          <w:color w:val="000000" w:themeColor="text1"/>
          <w:sz w:val="36"/>
          <w:szCs w:val="52"/>
          <w14:textFill>
            <w14:solidFill>
              <w14:schemeClr w14:val="tx1"/>
            </w14:solidFill>
          </w14:textFill>
        </w:rPr>
      </w:pPr>
      <w:r>
        <w:rPr>
          <w:rFonts w:ascii="Times New Roman" w:hAnsi="Times New Roman" w:eastAsia="黑体"/>
          <w:b/>
          <w:color w:val="000000" w:themeColor="text1"/>
          <w:sz w:val="36"/>
          <w:szCs w:val="52"/>
          <w14:textFill>
            <w14:solidFill>
              <w14:schemeClr w14:val="tx1"/>
            </w14:solidFill>
          </w14:textFill>
        </w:rPr>
        <w:t>广州市房地产中介协会</w:t>
      </w:r>
    </w:p>
    <w:p w14:paraId="40351FFB">
      <w:pPr>
        <w:spacing w:line="360" w:lineRule="auto"/>
        <w:jc w:val="center"/>
        <w:rPr>
          <w:rFonts w:ascii="Times New Roman" w:hAnsi="Times New Roman" w:eastAsia="黑体"/>
          <w:b/>
          <w:color w:val="000000" w:themeColor="text1"/>
          <w:sz w:val="36"/>
          <w:szCs w:val="36"/>
          <w14:textFill>
            <w14:solidFill>
              <w14:schemeClr w14:val="tx1"/>
            </w14:solidFill>
          </w14:textFill>
        </w:rPr>
      </w:pPr>
      <w:r>
        <w:rPr>
          <w:rFonts w:ascii="Times New Roman" w:hAnsi="Times New Roman" w:eastAsia="黑体"/>
          <w:b/>
          <w:color w:val="000000" w:themeColor="text1"/>
          <w:sz w:val="36"/>
          <w:szCs w:val="36"/>
          <w14:textFill>
            <w14:solidFill>
              <w14:schemeClr w14:val="tx1"/>
            </w14:solidFill>
          </w14:textFill>
        </w:rPr>
        <w:t>2025年3月</w:t>
      </w:r>
    </w:p>
    <w:p w14:paraId="692CB30B">
      <w:pPr>
        <w:widowControl/>
        <w:jc w:val="distribute"/>
        <w:rPr>
          <w:rFonts w:ascii="Times New Roman" w:hAnsi="Times New Roman" w:eastAsia="黑体"/>
          <w:b/>
          <w:color w:val="FF0000"/>
          <w:sz w:val="28"/>
        </w:rPr>
        <w:sectPr>
          <w:footerReference r:id="rId4" w:type="default"/>
          <w:pgSz w:w="11906" w:h="16838"/>
          <w:pgMar w:top="1418" w:right="1418" w:bottom="1418" w:left="1418" w:header="851" w:footer="992" w:gutter="0"/>
          <w:pgNumType w:chapStyle="1"/>
          <w:cols w:space="425" w:num="1"/>
          <w:titlePg/>
          <w:docGrid w:linePitch="312" w:charSpace="0"/>
        </w:sectPr>
      </w:pPr>
      <w:r>
        <w:rPr>
          <w:rFonts w:ascii="Times New Roman" w:hAnsi="Times New Roman" w:eastAsia="黑体"/>
          <w:b/>
          <w:color w:val="FF0000"/>
          <w:sz w:val="28"/>
        </w:rPr>
        <w:br w:type="page"/>
      </w:r>
    </w:p>
    <w:sdt>
      <w:sdtPr>
        <w:rPr>
          <w:rFonts w:ascii="Times New Roman" w:hAnsi="Times New Roman" w:eastAsia="宋体" w:cs="Times New Roman"/>
          <w:b w:val="0"/>
          <w:bCs w:val="0"/>
          <w:color w:val="FF0000"/>
          <w:kern w:val="2"/>
          <w:sz w:val="21"/>
          <w:szCs w:val="22"/>
          <w:lang w:val="zh-CN"/>
        </w:rPr>
        <w:id w:val="-1410687693"/>
        <w:docPartObj>
          <w:docPartGallery w:val="Table of Contents"/>
          <w:docPartUnique/>
        </w:docPartObj>
      </w:sdtPr>
      <w:sdtEndPr>
        <w:rPr>
          <w:rFonts w:ascii="Times New Roman" w:hAnsi="Times New Roman" w:eastAsiaTheme="minorEastAsia" w:cstheme="minorBidi"/>
          <w:b w:val="0"/>
          <w:bCs w:val="0"/>
          <w:color w:val="FF0000"/>
          <w:kern w:val="0"/>
          <w:sz w:val="22"/>
          <w:szCs w:val="22"/>
          <w:lang w:val="zh-CN"/>
        </w:rPr>
      </w:sdtEndPr>
      <w:sdtContent>
        <w:p w14:paraId="4B4261C6">
          <w:pPr>
            <w:pStyle w:val="37"/>
            <w:spacing w:before="240" w:after="120" w:afterLines="50" w:line="240" w:lineRule="auto"/>
            <w:jc w:val="center"/>
            <w:rPr>
              <w:rFonts w:ascii="Times New Roman" w:hAnsi="Times New Roman" w:eastAsia="黑体" w:cs="Times New Roman"/>
              <w:color w:val="000000" w:themeColor="text1"/>
              <w:sz w:val="40"/>
              <w14:textFill>
                <w14:solidFill>
                  <w14:schemeClr w14:val="tx1"/>
                </w14:solidFill>
              </w14:textFill>
            </w:rPr>
          </w:pPr>
          <w:r>
            <w:rPr>
              <w:rFonts w:ascii="Times New Roman" w:hAnsi="Times New Roman" w:eastAsia="黑体" w:cs="Times New Roman"/>
              <w:color w:val="000000" w:themeColor="text1"/>
              <w:sz w:val="40"/>
              <w:lang w:val="zh-CN"/>
              <w14:textFill>
                <w14:solidFill>
                  <w14:schemeClr w14:val="tx1"/>
                </w14:solidFill>
              </w14:textFill>
            </w:rPr>
            <w:t>目  录</w:t>
          </w:r>
        </w:p>
        <w:p w14:paraId="4B39E004">
          <w:pPr>
            <w:pStyle w:val="16"/>
            <w:tabs>
              <w:tab w:val="right" w:leader="dot" w:pos="9060"/>
            </w:tabs>
            <w:rPr>
              <w:rStyle w:val="23"/>
              <w:rFonts w:ascii="Times New Roman" w:hAnsi="Times New Roman" w:eastAsia="黑体"/>
              <w:b/>
              <w:sz w:val="24"/>
            </w:rPr>
          </w:pPr>
          <w:r>
            <w:rPr>
              <w:rStyle w:val="23"/>
            </w:rPr>
            <w:fldChar w:fldCharType="begin"/>
          </w:r>
          <w:r>
            <w:rPr>
              <w:rStyle w:val="23"/>
              <w:rFonts w:eastAsia="黑体"/>
            </w:rPr>
            <w:instrText xml:space="preserve"> TOC \o "1-3" \h \z \u </w:instrText>
          </w:r>
          <w:r>
            <w:rPr>
              <w:rStyle w:val="23"/>
            </w:rPr>
            <w:fldChar w:fldCharType="separate"/>
          </w:r>
          <w:r>
            <w:fldChar w:fldCharType="begin"/>
          </w:r>
          <w:r>
            <w:instrText xml:space="preserve"> HYPERLINK \l "_Toc192845439" </w:instrText>
          </w:r>
          <w:r>
            <w:fldChar w:fldCharType="separate"/>
          </w:r>
          <w:r>
            <w:rPr>
              <w:rStyle w:val="23"/>
              <w:rFonts w:hint="eastAsia" w:ascii="Times New Roman" w:hAnsi="Times New Roman" w:eastAsia="黑体"/>
              <w:b/>
              <w:sz w:val="24"/>
            </w:rPr>
            <w:t>一、引言</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_Toc192845439 \h </w:instrText>
          </w:r>
          <w:r>
            <w:rPr>
              <w:rStyle w:val="23"/>
              <w:rFonts w:ascii="Times New Roman" w:hAnsi="Times New Roman" w:eastAsia="黑体"/>
              <w:b/>
              <w:sz w:val="24"/>
            </w:rPr>
            <w:fldChar w:fldCharType="separate"/>
          </w:r>
          <w:r>
            <w:rPr>
              <w:rStyle w:val="23"/>
              <w:rFonts w:ascii="Times New Roman" w:hAnsi="Times New Roman" w:eastAsia="黑体"/>
              <w:b/>
              <w:sz w:val="24"/>
            </w:rPr>
            <w:t>1</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659808DA">
          <w:pPr>
            <w:pStyle w:val="16"/>
            <w:tabs>
              <w:tab w:val="right" w:leader="dot" w:pos="9060"/>
            </w:tabs>
            <w:rPr>
              <w:rStyle w:val="23"/>
              <w:rFonts w:ascii="Times New Roman" w:hAnsi="Times New Roman" w:eastAsia="黑体"/>
              <w:b/>
              <w:sz w:val="24"/>
            </w:rPr>
          </w:pPr>
          <w:r>
            <w:fldChar w:fldCharType="begin"/>
          </w:r>
          <w:r>
            <w:instrText xml:space="preserve"> HYPERLINK \l "_Toc192845440" </w:instrText>
          </w:r>
          <w:r>
            <w:fldChar w:fldCharType="separate"/>
          </w:r>
          <w:r>
            <w:rPr>
              <w:rStyle w:val="23"/>
              <w:rFonts w:hint="eastAsia" w:ascii="Times New Roman" w:hAnsi="Times New Roman" w:eastAsia="黑体"/>
              <w:b/>
              <w:sz w:val="24"/>
            </w:rPr>
            <w:t>二、</w:t>
          </w:r>
          <w:r>
            <w:rPr>
              <w:rStyle w:val="23"/>
              <w:rFonts w:ascii="Times New Roman" w:hAnsi="Times New Roman" w:eastAsia="黑体"/>
              <w:b/>
              <w:sz w:val="24"/>
            </w:rPr>
            <w:t>2024</w:t>
          </w:r>
          <w:r>
            <w:rPr>
              <w:rStyle w:val="23"/>
              <w:rFonts w:hint="eastAsia" w:ascii="Times New Roman" w:hAnsi="Times New Roman" w:eastAsia="黑体"/>
              <w:b/>
              <w:sz w:val="24"/>
            </w:rPr>
            <w:t>年房地产中介行业发展概况</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_Toc192845440 \h </w:instrText>
          </w:r>
          <w:r>
            <w:rPr>
              <w:rStyle w:val="23"/>
              <w:rFonts w:ascii="Times New Roman" w:hAnsi="Times New Roman" w:eastAsia="黑体"/>
              <w:b/>
              <w:sz w:val="24"/>
            </w:rPr>
            <w:fldChar w:fldCharType="separate"/>
          </w:r>
          <w:r>
            <w:rPr>
              <w:rStyle w:val="23"/>
              <w:rFonts w:ascii="Times New Roman" w:hAnsi="Times New Roman" w:eastAsia="黑体"/>
              <w:b/>
              <w:sz w:val="24"/>
            </w:rPr>
            <w:t>3</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5E3E9BD0">
          <w:pPr>
            <w:pStyle w:val="16"/>
            <w:tabs>
              <w:tab w:val="right" w:leader="dot" w:pos="9060"/>
            </w:tabs>
            <w:rPr>
              <w:rStyle w:val="23"/>
              <w:rFonts w:ascii="Times New Roman" w:hAnsi="Times New Roman" w:eastAsia="黑体"/>
              <w:b/>
              <w:sz w:val="24"/>
            </w:rPr>
          </w:pPr>
          <w:r>
            <w:fldChar w:fldCharType="begin"/>
          </w:r>
          <w:r>
            <w:instrText xml:space="preserve"> HYPERLINK \l "_Toc192845441" </w:instrText>
          </w:r>
          <w:r>
            <w:fldChar w:fldCharType="separate"/>
          </w:r>
          <w:r>
            <w:rPr>
              <w:rStyle w:val="23"/>
              <w:rFonts w:hint="eastAsia" w:ascii="Times New Roman" w:hAnsi="Times New Roman" w:eastAsia="黑体"/>
              <w:b/>
              <w:sz w:val="24"/>
            </w:rPr>
            <w:t>三、</w:t>
          </w:r>
          <w:r>
            <w:rPr>
              <w:rStyle w:val="23"/>
              <w:rFonts w:ascii="Times New Roman" w:hAnsi="Times New Roman" w:eastAsia="黑体"/>
              <w:b/>
              <w:sz w:val="24"/>
            </w:rPr>
            <w:t>2024</w:t>
          </w:r>
          <w:r>
            <w:rPr>
              <w:rStyle w:val="23"/>
              <w:rFonts w:hint="eastAsia" w:ascii="Times New Roman" w:hAnsi="Times New Roman" w:eastAsia="黑体"/>
              <w:b/>
              <w:sz w:val="24"/>
            </w:rPr>
            <w:t>年房地产中介信用体系建设重要进展</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_Toc192845441 \h </w:instrText>
          </w:r>
          <w:r>
            <w:rPr>
              <w:rStyle w:val="23"/>
              <w:rFonts w:ascii="Times New Roman" w:hAnsi="Times New Roman" w:eastAsia="黑体"/>
              <w:b/>
              <w:sz w:val="24"/>
            </w:rPr>
            <w:fldChar w:fldCharType="separate"/>
          </w:r>
          <w:r>
            <w:rPr>
              <w:rStyle w:val="23"/>
              <w:rFonts w:ascii="Times New Roman" w:hAnsi="Times New Roman" w:eastAsia="黑体"/>
              <w:b/>
              <w:sz w:val="24"/>
            </w:rPr>
            <w:t>10</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1273CF05">
          <w:pPr>
            <w:pStyle w:val="16"/>
            <w:tabs>
              <w:tab w:val="right" w:leader="dot" w:pos="9060"/>
            </w:tabs>
            <w:rPr>
              <w:rStyle w:val="23"/>
              <w:rFonts w:ascii="Times New Roman" w:hAnsi="Times New Roman" w:eastAsia="黑体"/>
            </w:rPr>
          </w:pPr>
          <w:r>
            <w:fldChar w:fldCharType="begin"/>
          </w:r>
          <w:r>
            <w:instrText xml:space="preserve"> HYPERLINK \l "_Toc192845442" </w:instrText>
          </w:r>
          <w:r>
            <w:fldChar w:fldCharType="separate"/>
          </w:r>
          <w:r>
            <w:rPr>
              <w:rStyle w:val="23"/>
              <w:rFonts w:hint="eastAsia" w:ascii="Times New Roman" w:hAnsi="Times New Roman" w:eastAsia="黑体"/>
              <w:b/>
              <w:sz w:val="24"/>
            </w:rPr>
            <w:t>四、中介机构信用状况</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_Toc192845442 \h </w:instrText>
          </w:r>
          <w:r>
            <w:rPr>
              <w:rStyle w:val="23"/>
              <w:rFonts w:ascii="Times New Roman" w:hAnsi="Times New Roman" w:eastAsia="黑体"/>
              <w:b/>
              <w:sz w:val="24"/>
            </w:rPr>
            <w:fldChar w:fldCharType="separate"/>
          </w:r>
          <w:r>
            <w:rPr>
              <w:rStyle w:val="23"/>
              <w:rFonts w:ascii="Times New Roman" w:hAnsi="Times New Roman" w:eastAsia="黑体"/>
              <w:b/>
              <w:sz w:val="24"/>
            </w:rPr>
            <w:t>13</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22836071">
          <w:pPr>
            <w:pStyle w:val="16"/>
            <w:tabs>
              <w:tab w:val="right" w:leader="dot" w:pos="9060"/>
            </w:tabs>
            <w:rPr>
              <w:rStyle w:val="23"/>
              <w:rFonts w:ascii="Times New Roman" w:hAnsi="Times New Roman" w:eastAsia="黑体"/>
            </w:rPr>
          </w:pPr>
          <w:r>
            <w:fldChar w:fldCharType="begin"/>
          </w:r>
          <w:r>
            <w:instrText xml:space="preserve"> HYPERLINK \l "_Toc192845443" </w:instrText>
          </w:r>
          <w:r>
            <w:fldChar w:fldCharType="separate"/>
          </w:r>
          <w:r>
            <w:rPr>
              <w:rStyle w:val="23"/>
              <w:rFonts w:hint="eastAsia" w:ascii="Times New Roman" w:hAnsi="Times New Roman" w:eastAsia="黑体"/>
            </w:rPr>
            <w:t>（一）整体情况</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_Toc192845443 \h </w:instrText>
          </w:r>
          <w:r>
            <w:rPr>
              <w:rStyle w:val="23"/>
              <w:rFonts w:ascii="Times New Roman" w:hAnsi="Times New Roman" w:eastAsia="黑体"/>
            </w:rPr>
            <w:fldChar w:fldCharType="separate"/>
          </w:r>
          <w:r>
            <w:rPr>
              <w:rStyle w:val="23"/>
              <w:rFonts w:ascii="Times New Roman" w:hAnsi="Times New Roman" w:eastAsia="黑体"/>
            </w:rPr>
            <w:t>13</w:t>
          </w:r>
          <w:r>
            <w:rPr>
              <w:rStyle w:val="23"/>
              <w:rFonts w:ascii="Times New Roman" w:hAnsi="Times New Roman" w:eastAsia="黑体"/>
            </w:rPr>
            <w:fldChar w:fldCharType="end"/>
          </w:r>
          <w:r>
            <w:rPr>
              <w:rStyle w:val="23"/>
              <w:rFonts w:ascii="Times New Roman" w:hAnsi="Times New Roman" w:eastAsia="黑体"/>
            </w:rPr>
            <w:fldChar w:fldCharType="end"/>
          </w:r>
        </w:p>
        <w:p w14:paraId="0E255CA7">
          <w:pPr>
            <w:pStyle w:val="16"/>
            <w:tabs>
              <w:tab w:val="right" w:leader="dot" w:pos="9060"/>
            </w:tabs>
            <w:rPr>
              <w:rStyle w:val="23"/>
              <w:rFonts w:ascii="Times New Roman" w:hAnsi="Times New Roman" w:eastAsia="黑体"/>
            </w:rPr>
          </w:pPr>
          <w:r>
            <w:fldChar w:fldCharType="begin"/>
          </w:r>
          <w:r>
            <w:instrText xml:space="preserve"> HYPERLINK \l "_Toc192845444" </w:instrText>
          </w:r>
          <w:r>
            <w:fldChar w:fldCharType="separate"/>
          </w:r>
          <w:r>
            <w:rPr>
              <w:rStyle w:val="23"/>
              <w:rFonts w:hint="eastAsia" w:ascii="Times New Roman" w:hAnsi="Times New Roman" w:eastAsia="黑体"/>
            </w:rPr>
            <w:t>（二）市中介协会会员单位情况</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_Toc192845444 \h </w:instrText>
          </w:r>
          <w:r>
            <w:rPr>
              <w:rStyle w:val="23"/>
              <w:rFonts w:ascii="Times New Roman" w:hAnsi="Times New Roman" w:eastAsia="黑体"/>
            </w:rPr>
            <w:fldChar w:fldCharType="separate"/>
          </w:r>
          <w:r>
            <w:rPr>
              <w:rStyle w:val="23"/>
              <w:rFonts w:ascii="Times New Roman" w:hAnsi="Times New Roman" w:eastAsia="黑体"/>
            </w:rPr>
            <w:t>17</w:t>
          </w:r>
          <w:r>
            <w:rPr>
              <w:rStyle w:val="23"/>
              <w:rFonts w:ascii="Times New Roman" w:hAnsi="Times New Roman" w:eastAsia="黑体"/>
            </w:rPr>
            <w:fldChar w:fldCharType="end"/>
          </w:r>
          <w:r>
            <w:rPr>
              <w:rStyle w:val="23"/>
              <w:rFonts w:ascii="Times New Roman" w:hAnsi="Times New Roman" w:eastAsia="黑体"/>
            </w:rPr>
            <w:fldChar w:fldCharType="end"/>
          </w:r>
        </w:p>
        <w:p w14:paraId="714C396F">
          <w:pPr>
            <w:pStyle w:val="16"/>
            <w:tabs>
              <w:tab w:val="right" w:leader="dot" w:pos="9060"/>
            </w:tabs>
            <w:rPr>
              <w:rStyle w:val="23"/>
              <w:rFonts w:ascii="Times New Roman" w:hAnsi="Times New Roman" w:eastAsia="黑体"/>
              <w:b/>
              <w:sz w:val="24"/>
            </w:rPr>
          </w:pPr>
          <w:r>
            <w:fldChar w:fldCharType="begin"/>
          </w:r>
          <w:r>
            <w:instrText xml:space="preserve"> HYPERLINK \l "_Toc192845445" </w:instrText>
          </w:r>
          <w:r>
            <w:fldChar w:fldCharType="separate"/>
          </w:r>
          <w:r>
            <w:rPr>
              <w:rStyle w:val="23"/>
              <w:rFonts w:hint="eastAsia" w:ascii="Times New Roman" w:hAnsi="Times New Roman" w:eastAsia="黑体"/>
              <w:b/>
              <w:sz w:val="24"/>
            </w:rPr>
            <w:t>五、中介服务品牌信用状况</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_Toc192845445 \h </w:instrText>
          </w:r>
          <w:r>
            <w:rPr>
              <w:rStyle w:val="23"/>
              <w:rFonts w:ascii="Times New Roman" w:hAnsi="Times New Roman" w:eastAsia="黑体"/>
              <w:b/>
              <w:sz w:val="24"/>
            </w:rPr>
            <w:fldChar w:fldCharType="separate"/>
          </w:r>
          <w:r>
            <w:rPr>
              <w:rStyle w:val="23"/>
              <w:rFonts w:ascii="Times New Roman" w:hAnsi="Times New Roman" w:eastAsia="黑体"/>
              <w:b/>
              <w:sz w:val="24"/>
            </w:rPr>
            <w:t>18</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13DB769D">
          <w:pPr>
            <w:pStyle w:val="16"/>
            <w:tabs>
              <w:tab w:val="right" w:leader="dot" w:pos="9060"/>
            </w:tabs>
            <w:rPr>
              <w:rStyle w:val="23"/>
              <w:rFonts w:ascii="Times New Roman" w:hAnsi="Times New Roman" w:eastAsia="黑体"/>
              <w:b/>
              <w:sz w:val="24"/>
            </w:rPr>
          </w:pPr>
          <w:r>
            <w:fldChar w:fldCharType="begin"/>
          </w:r>
          <w:r>
            <w:instrText xml:space="preserve"> HYPERLINK \l "_Toc192845446" </w:instrText>
          </w:r>
          <w:r>
            <w:fldChar w:fldCharType="separate"/>
          </w:r>
          <w:r>
            <w:rPr>
              <w:rStyle w:val="23"/>
              <w:rFonts w:hint="eastAsia" w:ascii="Times New Roman" w:hAnsi="Times New Roman" w:eastAsia="黑体"/>
              <w:b/>
              <w:sz w:val="24"/>
            </w:rPr>
            <w:t>六、从业人员信用状况</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_Toc192845446 \h </w:instrText>
          </w:r>
          <w:r>
            <w:rPr>
              <w:rStyle w:val="23"/>
              <w:rFonts w:ascii="Times New Roman" w:hAnsi="Times New Roman" w:eastAsia="黑体"/>
              <w:b/>
              <w:sz w:val="24"/>
            </w:rPr>
            <w:fldChar w:fldCharType="separate"/>
          </w:r>
          <w:r>
            <w:rPr>
              <w:rStyle w:val="23"/>
              <w:rFonts w:ascii="Times New Roman" w:hAnsi="Times New Roman" w:eastAsia="黑体"/>
              <w:b/>
              <w:sz w:val="24"/>
            </w:rPr>
            <w:t>23</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57F40DAB">
          <w:pPr>
            <w:pStyle w:val="16"/>
            <w:tabs>
              <w:tab w:val="right" w:leader="dot" w:pos="9060"/>
            </w:tabs>
            <w:rPr>
              <w:rStyle w:val="23"/>
              <w:rFonts w:ascii="Times New Roman" w:hAnsi="Times New Roman" w:eastAsia="黑体"/>
            </w:rPr>
          </w:pPr>
          <w:r>
            <w:fldChar w:fldCharType="begin"/>
          </w:r>
          <w:r>
            <w:instrText xml:space="preserve"> HYPERLINK \l "_Toc192845447" </w:instrText>
          </w:r>
          <w:r>
            <w:fldChar w:fldCharType="separate"/>
          </w:r>
          <w:r>
            <w:rPr>
              <w:rStyle w:val="23"/>
              <w:rFonts w:hint="eastAsia" w:ascii="Times New Roman" w:hAnsi="Times New Roman" w:eastAsia="黑体"/>
            </w:rPr>
            <w:t>（一）整体情况</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_Toc192845447 \h </w:instrText>
          </w:r>
          <w:r>
            <w:rPr>
              <w:rStyle w:val="23"/>
              <w:rFonts w:ascii="Times New Roman" w:hAnsi="Times New Roman" w:eastAsia="黑体"/>
            </w:rPr>
            <w:fldChar w:fldCharType="separate"/>
          </w:r>
          <w:r>
            <w:rPr>
              <w:rStyle w:val="23"/>
              <w:rFonts w:ascii="Times New Roman" w:hAnsi="Times New Roman" w:eastAsia="黑体"/>
            </w:rPr>
            <w:t>23</w:t>
          </w:r>
          <w:r>
            <w:rPr>
              <w:rStyle w:val="23"/>
              <w:rFonts w:ascii="Times New Roman" w:hAnsi="Times New Roman" w:eastAsia="黑体"/>
            </w:rPr>
            <w:fldChar w:fldCharType="end"/>
          </w:r>
          <w:r>
            <w:rPr>
              <w:rStyle w:val="23"/>
              <w:rFonts w:ascii="Times New Roman" w:hAnsi="Times New Roman" w:eastAsia="黑体"/>
            </w:rPr>
            <w:fldChar w:fldCharType="end"/>
          </w:r>
        </w:p>
        <w:p w14:paraId="132D8D6E">
          <w:pPr>
            <w:pStyle w:val="16"/>
            <w:tabs>
              <w:tab w:val="right" w:leader="dot" w:pos="9060"/>
            </w:tabs>
            <w:rPr>
              <w:rStyle w:val="23"/>
              <w:rFonts w:ascii="Times New Roman" w:hAnsi="Times New Roman" w:eastAsia="黑体"/>
            </w:rPr>
          </w:pPr>
          <w:r>
            <w:fldChar w:fldCharType="begin"/>
          </w:r>
          <w:r>
            <w:instrText xml:space="preserve"> HYPERLINK \l "_Toc192845448" </w:instrText>
          </w:r>
          <w:r>
            <w:fldChar w:fldCharType="separate"/>
          </w:r>
          <w:r>
            <w:rPr>
              <w:rStyle w:val="23"/>
              <w:rFonts w:hint="eastAsia" w:ascii="Times New Roman" w:hAnsi="Times New Roman" w:eastAsia="黑体"/>
            </w:rPr>
            <w:t>（二）市中介协会个人会员情况</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_Toc192845448 \h </w:instrText>
          </w:r>
          <w:r>
            <w:rPr>
              <w:rStyle w:val="23"/>
              <w:rFonts w:ascii="Times New Roman" w:hAnsi="Times New Roman" w:eastAsia="黑体"/>
            </w:rPr>
            <w:fldChar w:fldCharType="separate"/>
          </w:r>
          <w:r>
            <w:rPr>
              <w:rStyle w:val="23"/>
              <w:rFonts w:ascii="Times New Roman" w:hAnsi="Times New Roman" w:eastAsia="黑体"/>
            </w:rPr>
            <w:t>25</w:t>
          </w:r>
          <w:r>
            <w:rPr>
              <w:rStyle w:val="23"/>
              <w:rFonts w:ascii="Times New Roman" w:hAnsi="Times New Roman" w:eastAsia="黑体"/>
            </w:rPr>
            <w:fldChar w:fldCharType="end"/>
          </w:r>
          <w:r>
            <w:rPr>
              <w:rStyle w:val="23"/>
              <w:rFonts w:ascii="Times New Roman" w:hAnsi="Times New Roman" w:eastAsia="黑体"/>
            </w:rPr>
            <w:fldChar w:fldCharType="end"/>
          </w:r>
        </w:p>
        <w:p w14:paraId="41D74645">
          <w:pPr>
            <w:pStyle w:val="16"/>
            <w:tabs>
              <w:tab w:val="right" w:leader="dot" w:pos="9060"/>
            </w:tabs>
            <w:rPr>
              <w:rStyle w:val="23"/>
              <w:rFonts w:ascii="Times New Roman" w:hAnsi="Times New Roman" w:eastAsia="黑体"/>
              <w:b/>
              <w:sz w:val="24"/>
            </w:rPr>
          </w:pPr>
          <w:r>
            <w:fldChar w:fldCharType="begin"/>
          </w:r>
          <w:r>
            <w:instrText xml:space="preserve"> HYPERLINK \l "_Toc192845449" </w:instrText>
          </w:r>
          <w:r>
            <w:fldChar w:fldCharType="separate"/>
          </w:r>
          <w:r>
            <w:rPr>
              <w:rStyle w:val="23"/>
              <w:rFonts w:hint="eastAsia" w:ascii="Times New Roman" w:hAnsi="Times New Roman" w:eastAsia="黑体"/>
              <w:b/>
              <w:sz w:val="24"/>
            </w:rPr>
            <w:t>七、信用等级相关性分析</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_Toc192845449 \h </w:instrText>
          </w:r>
          <w:r>
            <w:rPr>
              <w:rStyle w:val="23"/>
              <w:rFonts w:ascii="Times New Roman" w:hAnsi="Times New Roman" w:eastAsia="黑体"/>
              <w:b/>
              <w:sz w:val="24"/>
            </w:rPr>
            <w:fldChar w:fldCharType="separate"/>
          </w:r>
          <w:r>
            <w:rPr>
              <w:rStyle w:val="23"/>
              <w:rFonts w:ascii="Times New Roman" w:hAnsi="Times New Roman" w:eastAsia="黑体"/>
              <w:b/>
              <w:sz w:val="24"/>
            </w:rPr>
            <w:t>27</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41E505CD">
          <w:pPr>
            <w:pStyle w:val="16"/>
            <w:tabs>
              <w:tab w:val="right" w:leader="dot" w:pos="9060"/>
            </w:tabs>
            <w:rPr>
              <w:rStyle w:val="23"/>
              <w:rFonts w:ascii="Times New Roman" w:hAnsi="Times New Roman" w:eastAsia="黑体"/>
            </w:rPr>
          </w:pPr>
          <w:r>
            <w:fldChar w:fldCharType="begin"/>
          </w:r>
          <w:r>
            <w:instrText xml:space="preserve"> HYPERLINK \l "_Toc192845450" </w:instrText>
          </w:r>
          <w:r>
            <w:fldChar w:fldCharType="separate"/>
          </w:r>
          <w:r>
            <w:rPr>
              <w:rStyle w:val="23"/>
              <w:rFonts w:hint="eastAsia" w:ascii="Times New Roman" w:hAnsi="Times New Roman" w:eastAsia="黑体"/>
            </w:rPr>
            <w:t>（一）信用等级与从业人员性别</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_Toc192845450 \h </w:instrText>
          </w:r>
          <w:r>
            <w:rPr>
              <w:rStyle w:val="23"/>
              <w:rFonts w:ascii="Times New Roman" w:hAnsi="Times New Roman" w:eastAsia="黑体"/>
            </w:rPr>
            <w:fldChar w:fldCharType="separate"/>
          </w:r>
          <w:r>
            <w:rPr>
              <w:rStyle w:val="23"/>
              <w:rFonts w:ascii="Times New Roman" w:hAnsi="Times New Roman" w:eastAsia="黑体"/>
            </w:rPr>
            <w:t>27</w:t>
          </w:r>
          <w:r>
            <w:rPr>
              <w:rStyle w:val="23"/>
              <w:rFonts w:ascii="Times New Roman" w:hAnsi="Times New Roman" w:eastAsia="黑体"/>
            </w:rPr>
            <w:fldChar w:fldCharType="end"/>
          </w:r>
          <w:r>
            <w:rPr>
              <w:rStyle w:val="23"/>
              <w:rFonts w:ascii="Times New Roman" w:hAnsi="Times New Roman" w:eastAsia="黑体"/>
            </w:rPr>
            <w:fldChar w:fldCharType="end"/>
          </w:r>
        </w:p>
        <w:p w14:paraId="191ED3EF">
          <w:pPr>
            <w:pStyle w:val="16"/>
            <w:tabs>
              <w:tab w:val="right" w:leader="dot" w:pos="9060"/>
            </w:tabs>
            <w:rPr>
              <w:rStyle w:val="23"/>
              <w:rFonts w:ascii="Times New Roman" w:hAnsi="Times New Roman" w:eastAsia="黑体"/>
            </w:rPr>
          </w:pPr>
          <w:r>
            <w:fldChar w:fldCharType="begin"/>
          </w:r>
          <w:r>
            <w:instrText xml:space="preserve"> HYPERLINK \l "_Toc192845451" </w:instrText>
          </w:r>
          <w:r>
            <w:fldChar w:fldCharType="separate"/>
          </w:r>
          <w:r>
            <w:rPr>
              <w:rStyle w:val="23"/>
              <w:rFonts w:hint="eastAsia" w:ascii="Times New Roman" w:hAnsi="Times New Roman" w:eastAsia="黑体"/>
            </w:rPr>
            <w:t>（二）信用等级与从业人员年龄</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_Toc192845451 \h </w:instrText>
          </w:r>
          <w:r>
            <w:rPr>
              <w:rStyle w:val="23"/>
              <w:rFonts w:ascii="Times New Roman" w:hAnsi="Times New Roman" w:eastAsia="黑体"/>
            </w:rPr>
            <w:fldChar w:fldCharType="separate"/>
          </w:r>
          <w:r>
            <w:rPr>
              <w:rStyle w:val="23"/>
              <w:rFonts w:ascii="Times New Roman" w:hAnsi="Times New Roman" w:eastAsia="黑体"/>
            </w:rPr>
            <w:t>27</w:t>
          </w:r>
          <w:r>
            <w:rPr>
              <w:rStyle w:val="23"/>
              <w:rFonts w:ascii="Times New Roman" w:hAnsi="Times New Roman" w:eastAsia="黑体"/>
            </w:rPr>
            <w:fldChar w:fldCharType="end"/>
          </w:r>
          <w:r>
            <w:rPr>
              <w:rStyle w:val="23"/>
              <w:rFonts w:ascii="Times New Roman" w:hAnsi="Times New Roman" w:eastAsia="黑体"/>
            </w:rPr>
            <w:fldChar w:fldCharType="end"/>
          </w:r>
        </w:p>
        <w:p w14:paraId="098AD4B7">
          <w:pPr>
            <w:pStyle w:val="16"/>
            <w:tabs>
              <w:tab w:val="right" w:leader="dot" w:pos="9060"/>
            </w:tabs>
            <w:rPr>
              <w:rStyle w:val="23"/>
              <w:rFonts w:ascii="Times New Roman" w:hAnsi="Times New Roman" w:eastAsia="黑体"/>
            </w:rPr>
          </w:pPr>
          <w:r>
            <w:fldChar w:fldCharType="begin"/>
          </w:r>
          <w:r>
            <w:instrText xml:space="preserve"> HYPERLINK \l "_Toc192845452" </w:instrText>
          </w:r>
          <w:r>
            <w:fldChar w:fldCharType="separate"/>
          </w:r>
          <w:r>
            <w:rPr>
              <w:rStyle w:val="23"/>
              <w:rFonts w:hint="eastAsia" w:ascii="Times New Roman" w:hAnsi="Times New Roman" w:eastAsia="黑体"/>
            </w:rPr>
            <w:t>（三）中介机构信用等级与从业人员信用等级</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_Toc192845452 \h </w:instrText>
          </w:r>
          <w:r>
            <w:rPr>
              <w:rStyle w:val="23"/>
              <w:rFonts w:ascii="Times New Roman" w:hAnsi="Times New Roman" w:eastAsia="黑体"/>
            </w:rPr>
            <w:fldChar w:fldCharType="separate"/>
          </w:r>
          <w:r>
            <w:rPr>
              <w:rStyle w:val="23"/>
              <w:rFonts w:ascii="Times New Roman" w:hAnsi="Times New Roman" w:eastAsia="黑体"/>
            </w:rPr>
            <w:t>28</w:t>
          </w:r>
          <w:r>
            <w:rPr>
              <w:rStyle w:val="23"/>
              <w:rFonts w:ascii="Times New Roman" w:hAnsi="Times New Roman" w:eastAsia="黑体"/>
            </w:rPr>
            <w:fldChar w:fldCharType="end"/>
          </w:r>
          <w:r>
            <w:rPr>
              <w:rStyle w:val="23"/>
              <w:rFonts w:ascii="Times New Roman" w:hAnsi="Times New Roman" w:eastAsia="黑体"/>
            </w:rPr>
            <w:fldChar w:fldCharType="end"/>
          </w:r>
        </w:p>
        <w:p w14:paraId="77B3159E">
          <w:pPr>
            <w:pStyle w:val="16"/>
            <w:tabs>
              <w:tab w:val="right" w:leader="dot" w:pos="9060"/>
            </w:tabs>
            <w:rPr>
              <w:rStyle w:val="23"/>
              <w:rFonts w:ascii="Times New Roman" w:hAnsi="Times New Roman" w:eastAsia="黑体"/>
              <w:b/>
              <w:sz w:val="24"/>
            </w:rPr>
          </w:pPr>
          <w:r>
            <w:fldChar w:fldCharType="begin"/>
          </w:r>
          <w:r>
            <w:instrText xml:space="preserve"> HYPERLINK \l "_Toc192845453" </w:instrText>
          </w:r>
          <w:r>
            <w:fldChar w:fldCharType="separate"/>
          </w:r>
          <w:r>
            <w:rPr>
              <w:rStyle w:val="23"/>
              <w:rFonts w:hint="eastAsia" w:ascii="Times New Roman" w:hAnsi="Times New Roman" w:eastAsia="黑体"/>
              <w:b/>
              <w:sz w:val="24"/>
            </w:rPr>
            <w:t>八、消费者投诉情况</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_Toc192845453 \h </w:instrText>
          </w:r>
          <w:r>
            <w:rPr>
              <w:rStyle w:val="23"/>
              <w:rFonts w:ascii="Times New Roman" w:hAnsi="Times New Roman" w:eastAsia="黑体"/>
              <w:b/>
              <w:sz w:val="24"/>
            </w:rPr>
            <w:fldChar w:fldCharType="separate"/>
          </w:r>
          <w:r>
            <w:rPr>
              <w:rStyle w:val="23"/>
              <w:rFonts w:ascii="Times New Roman" w:hAnsi="Times New Roman" w:eastAsia="黑体"/>
              <w:b/>
              <w:sz w:val="24"/>
            </w:rPr>
            <w:t>31</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0D6FE026">
          <w:pPr>
            <w:pStyle w:val="16"/>
            <w:tabs>
              <w:tab w:val="right" w:leader="dot" w:pos="9060"/>
            </w:tabs>
            <w:rPr>
              <w:rStyle w:val="23"/>
              <w:rFonts w:ascii="Times New Roman" w:hAnsi="Times New Roman" w:eastAsia="黑体"/>
            </w:rPr>
          </w:pPr>
          <w:r>
            <w:fldChar w:fldCharType="begin"/>
          </w:r>
          <w:r>
            <w:instrText xml:space="preserve"> HYPERLINK \l "_Toc192845454" </w:instrText>
          </w:r>
          <w:r>
            <w:fldChar w:fldCharType="separate"/>
          </w:r>
          <w:r>
            <w:rPr>
              <w:rStyle w:val="23"/>
              <w:rFonts w:hint="eastAsia" w:ascii="Times New Roman" w:hAnsi="Times New Roman" w:eastAsia="黑体"/>
            </w:rPr>
            <w:t>（一）投诉事由分析</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_Toc192845454 \h </w:instrText>
          </w:r>
          <w:r>
            <w:rPr>
              <w:rStyle w:val="23"/>
              <w:rFonts w:ascii="Times New Roman" w:hAnsi="Times New Roman" w:eastAsia="黑体"/>
            </w:rPr>
            <w:fldChar w:fldCharType="separate"/>
          </w:r>
          <w:r>
            <w:rPr>
              <w:rStyle w:val="23"/>
              <w:rFonts w:ascii="Times New Roman" w:hAnsi="Times New Roman" w:eastAsia="黑体"/>
            </w:rPr>
            <w:t>31</w:t>
          </w:r>
          <w:r>
            <w:rPr>
              <w:rStyle w:val="23"/>
              <w:rFonts w:ascii="Times New Roman" w:hAnsi="Times New Roman" w:eastAsia="黑体"/>
            </w:rPr>
            <w:fldChar w:fldCharType="end"/>
          </w:r>
          <w:r>
            <w:rPr>
              <w:rStyle w:val="23"/>
              <w:rFonts w:ascii="Times New Roman" w:hAnsi="Times New Roman" w:eastAsia="黑体"/>
            </w:rPr>
            <w:fldChar w:fldCharType="end"/>
          </w:r>
        </w:p>
        <w:p w14:paraId="7FDFA17F">
          <w:pPr>
            <w:pStyle w:val="16"/>
            <w:tabs>
              <w:tab w:val="right" w:leader="dot" w:pos="9060"/>
            </w:tabs>
            <w:ind w:firstLine="220" w:firstLineChars="100"/>
            <w:rPr>
              <w:rStyle w:val="23"/>
              <w:rFonts w:ascii="Times New Roman" w:hAnsi="Times New Roman" w:eastAsia="黑体"/>
            </w:rPr>
          </w:pPr>
          <w:r>
            <w:fldChar w:fldCharType="begin"/>
          </w:r>
          <w:r>
            <w:instrText xml:space="preserve"> HYPERLINK \l "_Toc192845455" </w:instrText>
          </w:r>
          <w:r>
            <w:fldChar w:fldCharType="separate"/>
          </w:r>
          <w:r>
            <w:rPr>
              <w:rStyle w:val="23"/>
              <w:rFonts w:ascii="Times New Roman" w:hAnsi="Times New Roman" w:eastAsia="黑体"/>
            </w:rPr>
            <w:t>1</w:t>
          </w:r>
          <w:r>
            <w:rPr>
              <w:rStyle w:val="23"/>
              <w:rFonts w:hint="eastAsia" w:ascii="Times New Roman" w:hAnsi="Times New Roman" w:eastAsia="黑体"/>
            </w:rPr>
            <w:t>.一手房交易纠纷</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_Toc192845455 \h </w:instrText>
          </w:r>
          <w:r>
            <w:rPr>
              <w:rStyle w:val="23"/>
              <w:rFonts w:ascii="Times New Roman" w:hAnsi="Times New Roman" w:eastAsia="黑体"/>
            </w:rPr>
            <w:fldChar w:fldCharType="separate"/>
          </w:r>
          <w:r>
            <w:rPr>
              <w:rStyle w:val="23"/>
              <w:rFonts w:ascii="Times New Roman" w:hAnsi="Times New Roman" w:eastAsia="黑体"/>
            </w:rPr>
            <w:t>31</w:t>
          </w:r>
          <w:r>
            <w:rPr>
              <w:rStyle w:val="23"/>
              <w:rFonts w:ascii="Times New Roman" w:hAnsi="Times New Roman" w:eastAsia="黑体"/>
            </w:rPr>
            <w:fldChar w:fldCharType="end"/>
          </w:r>
          <w:r>
            <w:rPr>
              <w:rStyle w:val="23"/>
              <w:rFonts w:ascii="Times New Roman" w:hAnsi="Times New Roman" w:eastAsia="黑体"/>
            </w:rPr>
            <w:fldChar w:fldCharType="end"/>
          </w:r>
        </w:p>
        <w:p w14:paraId="144446D9">
          <w:pPr>
            <w:pStyle w:val="16"/>
            <w:tabs>
              <w:tab w:val="right" w:leader="dot" w:pos="9060"/>
            </w:tabs>
            <w:ind w:firstLine="220" w:firstLineChars="100"/>
            <w:rPr>
              <w:rStyle w:val="23"/>
              <w:rFonts w:ascii="Times New Roman" w:hAnsi="Times New Roman" w:eastAsia="黑体"/>
            </w:rPr>
          </w:pPr>
          <w:r>
            <w:fldChar w:fldCharType="begin"/>
          </w:r>
          <w:r>
            <w:instrText xml:space="preserve"> HYPERLINK \l "_Toc192845456" </w:instrText>
          </w:r>
          <w:r>
            <w:fldChar w:fldCharType="separate"/>
          </w:r>
          <w:r>
            <w:rPr>
              <w:rStyle w:val="23"/>
              <w:rFonts w:ascii="Times New Roman" w:hAnsi="Times New Roman" w:eastAsia="黑体"/>
            </w:rPr>
            <w:t>2</w:t>
          </w:r>
          <w:r>
            <w:rPr>
              <w:rStyle w:val="23"/>
              <w:rFonts w:hint="eastAsia" w:ascii="Times New Roman" w:hAnsi="Times New Roman" w:eastAsia="黑体"/>
            </w:rPr>
            <w:t>.二手房交易纠纷</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_Toc192845456 \h </w:instrText>
          </w:r>
          <w:r>
            <w:rPr>
              <w:rStyle w:val="23"/>
              <w:rFonts w:ascii="Times New Roman" w:hAnsi="Times New Roman" w:eastAsia="黑体"/>
            </w:rPr>
            <w:fldChar w:fldCharType="separate"/>
          </w:r>
          <w:r>
            <w:rPr>
              <w:rStyle w:val="23"/>
              <w:rFonts w:ascii="Times New Roman" w:hAnsi="Times New Roman" w:eastAsia="黑体"/>
            </w:rPr>
            <w:t>33</w:t>
          </w:r>
          <w:r>
            <w:rPr>
              <w:rStyle w:val="23"/>
              <w:rFonts w:ascii="Times New Roman" w:hAnsi="Times New Roman" w:eastAsia="黑体"/>
            </w:rPr>
            <w:fldChar w:fldCharType="end"/>
          </w:r>
          <w:r>
            <w:rPr>
              <w:rStyle w:val="23"/>
              <w:rFonts w:ascii="Times New Roman" w:hAnsi="Times New Roman" w:eastAsia="黑体"/>
            </w:rPr>
            <w:fldChar w:fldCharType="end"/>
          </w:r>
        </w:p>
        <w:p w14:paraId="2A820BBA">
          <w:pPr>
            <w:pStyle w:val="16"/>
            <w:tabs>
              <w:tab w:val="right" w:leader="dot" w:pos="9060"/>
            </w:tabs>
            <w:ind w:firstLine="220" w:firstLineChars="100"/>
            <w:rPr>
              <w:rStyle w:val="23"/>
              <w:rFonts w:ascii="Times New Roman" w:hAnsi="Times New Roman" w:eastAsia="黑体"/>
            </w:rPr>
          </w:pPr>
          <w:r>
            <w:fldChar w:fldCharType="begin"/>
          </w:r>
          <w:r>
            <w:instrText xml:space="preserve"> HYPERLINK \l "_Toc192845457" </w:instrText>
          </w:r>
          <w:r>
            <w:fldChar w:fldCharType="separate"/>
          </w:r>
          <w:r>
            <w:rPr>
              <w:rStyle w:val="23"/>
              <w:rFonts w:ascii="Times New Roman" w:hAnsi="Times New Roman" w:eastAsia="黑体"/>
            </w:rPr>
            <w:t>3</w:t>
          </w:r>
          <w:r>
            <w:rPr>
              <w:rStyle w:val="23"/>
              <w:rFonts w:hint="eastAsia" w:ascii="Times New Roman" w:hAnsi="Times New Roman" w:eastAsia="黑体"/>
            </w:rPr>
            <w:t>.房屋租赁纠纷</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_Toc192845457 \h </w:instrText>
          </w:r>
          <w:r>
            <w:rPr>
              <w:rStyle w:val="23"/>
              <w:rFonts w:ascii="Times New Roman" w:hAnsi="Times New Roman" w:eastAsia="黑体"/>
            </w:rPr>
            <w:fldChar w:fldCharType="separate"/>
          </w:r>
          <w:r>
            <w:rPr>
              <w:rStyle w:val="23"/>
              <w:rFonts w:ascii="Times New Roman" w:hAnsi="Times New Roman" w:eastAsia="黑体"/>
            </w:rPr>
            <w:t>34</w:t>
          </w:r>
          <w:r>
            <w:rPr>
              <w:rStyle w:val="23"/>
              <w:rFonts w:ascii="Times New Roman" w:hAnsi="Times New Roman" w:eastAsia="黑体"/>
            </w:rPr>
            <w:fldChar w:fldCharType="end"/>
          </w:r>
          <w:r>
            <w:rPr>
              <w:rStyle w:val="23"/>
              <w:rFonts w:ascii="Times New Roman" w:hAnsi="Times New Roman" w:eastAsia="黑体"/>
            </w:rPr>
            <w:fldChar w:fldCharType="end"/>
          </w:r>
        </w:p>
        <w:p w14:paraId="79D18AE4">
          <w:pPr>
            <w:pStyle w:val="16"/>
            <w:tabs>
              <w:tab w:val="right" w:leader="dot" w:pos="9060"/>
            </w:tabs>
            <w:ind w:firstLine="220" w:firstLineChars="100"/>
            <w:rPr>
              <w:rStyle w:val="23"/>
              <w:rFonts w:ascii="Times New Roman" w:hAnsi="Times New Roman" w:eastAsia="黑体"/>
            </w:rPr>
          </w:pPr>
          <w:r>
            <w:fldChar w:fldCharType="begin"/>
          </w:r>
          <w:r>
            <w:instrText xml:space="preserve"> HYPERLINK \l "_Toc192845458" </w:instrText>
          </w:r>
          <w:r>
            <w:fldChar w:fldCharType="separate"/>
          </w:r>
          <w:r>
            <w:rPr>
              <w:rStyle w:val="23"/>
              <w:rFonts w:ascii="Times New Roman" w:hAnsi="Times New Roman" w:eastAsia="黑体"/>
            </w:rPr>
            <w:t>4</w:t>
          </w:r>
          <w:r>
            <w:rPr>
              <w:rStyle w:val="23"/>
              <w:rFonts w:hint="eastAsia" w:ascii="Times New Roman" w:hAnsi="Times New Roman" w:eastAsia="黑体"/>
            </w:rPr>
            <w:t>.非交易类纠纷</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_Toc192845458 \h </w:instrText>
          </w:r>
          <w:r>
            <w:rPr>
              <w:rStyle w:val="23"/>
              <w:rFonts w:ascii="Times New Roman" w:hAnsi="Times New Roman" w:eastAsia="黑体"/>
            </w:rPr>
            <w:fldChar w:fldCharType="separate"/>
          </w:r>
          <w:r>
            <w:rPr>
              <w:rStyle w:val="23"/>
              <w:rFonts w:ascii="Times New Roman" w:hAnsi="Times New Roman" w:eastAsia="黑体"/>
            </w:rPr>
            <w:t>35</w:t>
          </w:r>
          <w:r>
            <w:rPr>
              <w:rStyle w:val="23"/>
              <w:rFonts w:ascii="Times New Roman" w:hAnsi="Times New Roman" w:eastAsia="黑体"/>
            </w:rPr>
            <w:fldChar w:fldCharType="end"/>
          </w:r>
          <w:r>
            <w:rPr>
              <w:rStyle w:val="23"/>
              <w:rFonts w:ascii="Times New Roman" w:hAnsi="Times New Roman" w:eastAsia="黑体"/>
            </w:rPr>
            <w:fldChar w:fldCharType="end"/>
          </w:r>
        </w:p>
        <w:p w14:paraId="006509E7">
          <w:pPr>
            <w:pStyle w:val="16"/>
            <w:tabs>
              <w:tab w:val="right" w:leader="dot" w:pos="9060"/>
            </w:tabs>
            <w:rPr>
              <w:rStyle w:val="23"/>
              <w:rFonts w:ascii="Times New Roman" w:hAnsi="Times New Roman" w:eastAsia="黑体"/>
            </w:rPr>
          </w:pPr>
          <w:r>
            <w:fldChar w:fldCharType="begin"/>
          </w:r>
          <w:r>
            <w:instrText xml:space="preserve"> HYPERLINK \l "_Toc192845459" </w:instrText>
          </w:r>
          <w:r>
            <w:fldChar w:fldCharType="separate"/>
          </w:r>
          <w:r>
            <w:rPr>
              <w:rStyle w:val="23"/>
              <w:rFonts w:hint="eastAsia" w:ascii="Times New Roman" w:hAnsi="Times New Roman" w:eastAsia="黑体"/>
            </w:rPr>
            <w:t>（二）投诉对象分析</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_Toc192845459 \h </w:instrText>
          </w:r>
          <w:r>
            <w:rPr>
              <w:rStyle w:val="23"/>
              <w:rFonts w:ascii="Times New Roman" w:hAnsi="Times New Roman" w:eastAsia="黑体"/>
            </w:rPr>
            <w:fldChar w:fldCharType="separate"/>
          </w:r>
          <w:r>
            <w:rPr>
              <w:rStyle w:val="23"/>
              <w:rFonts w:ascii="Times New Roman" w:hAnsi="Times New Roman" w:eastAsia="黑体"/>
            </w:rPr>
            <w:t>36</w:t>
          </w:r>
          <w:r>
            <w:rPr>
              <w:rStyle w:val="23"/>
              <w:rFonts w:ascii="Times New Roman" w:hAnsi="Times New Roman" w:eastAsia="黑体"/>
            </w:rPr>
            <w:fldChar w:fldCharType="end"/>
          </w:r>
          <w:r>
            <w:rPr>
              <w:rStyle w:val="23"/>
              <w:rFonts w:ascii="Times New Roman" w:hAnsi="Times New Roman" w:eastAsia="黑体"/>
            </w:rPr>
            <w:fldChar w:fldCharType="end"/>
          </w:r>
        </w:p>
        <w:p w14:paraId="7D840068">
          <w:pPr>
            <w:pStyle w:val="16"/>
            <w:tabs>
              <w:tab w:val="right" w:leader="dot" w:pos="9060"/>
            </w:tabs>
            <w:ind w:firstLine="220" w:firstLineChars="100"/>
            <w:rPr>
              <w:rStyle w:val="23"/>
              <w:rFonts w:ascii="Times New Roman" w:hAnsi="Times New Roman" w:eastAsia="黑体"/>
            </w:rPr>
          </w:pPr>
          <w:r>
            <w:fldChar w:fldCharType="begin"/>
          </w:r>
          <w:r>
            <w:instrText xml:space="preserve"> HYPERLINK \l "_Toc192845460" </w:instrText>
          </w:r>
          <w:r>
            <w:fldChar w:fldCharType="separate"/>
          </w:r>
          <w:r>
            <w:rPr>
              <w:rStyle w:val="23"/>
              <w:rFonts w:ascii="Times New Roman" w:hAnsi="Times New Roman" w:eastAsia="黑体"/>
            </w:rPr>
            <w:t>1</w:t>
          </w:r>
          <w:r>
            <w:rPr>
              <w:rStyle w:val="23"/>
              <w:rFonts w:hint="eastAsia" w:ascii="Times New Roman" w:hAnsi="Times New Roman" w:eastAsia="黑体"/>
            </w:rPr>
            <w:t>.中介机构、品牌</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_Toc192845460 \h </w:instrText>
          </w:r>
          <w:r>
            <w:rPr>
              <w:rStyle w:val="23"/>
              <w:rFonts w:ascii="Times New Roman" w:hAnsi="Times New Roman" w:eastAsia="黑体"/>
            </w:rPr>
            <w:fldChar w:fldCharType="separate"/>
          </w:r>
          <w:r>
            <w:rPr>
              <w:rStyle w:val="23"/>
              <w:rFonts w:ascii="Times New Roman" w:hAnsi="Times New Roman" w:eastAsia="黑体"/>
            </w:rPr>
            <w:t>36</w:t>
          </w:r>
          <w:r>
            <w:rPr>
              <w:rStyle w:val="23"/>
              <w:rFonts w:ascii="Times New Roman" w:hAnsi="Times New Roman" w:eastAsia="黑体"/>
            </w:rPr>
            <w:fldChar w:fldCharType="end"/>
          </w:r>
          <w:r>
            <w:rPr>
              <w:rStyle w:val="23"/>
              <w:rFonts w:ascii="Times New Roman" w:hAnsi="Times New Roman" w:eastAsia="黑体"/>
            </w:rPr>
            <w:fldChar w:fldCharType="end"/>
          </w:r>
        </w:p>
        <w:p w14:paraId="3AB78A03">
          <w:pPr>
            <w:pStyle w:val="16"/>
            <w:tabs>
              <w:tab w:val="right" w:leader="dot" w:pos="9060"/>
            </w:tabs>
            <w:ind w:firstLine="220" w:firstLineChars="100"/>
            <w:rPr>
              <w:rStyle w:val="23"/>
              <w:rFonts w:ascii="Times New Roman" w:hAnsi="Times New Roman" w:eastAsia="黑体"/>
            </w:rPr>
          </w:pPr>
          <w:r>
            <w:fldChar w:fldCharType="begin"/>
          </w:r>
          <w:r>
            <w:instrText xml:space="preserve"> HYPERLINK \l "_Toc192845461" </w:instrText>
          </w:r>
          <w:r>
            <w:fldChar w:fldCharType="separate"/>
          </w:r>
          <w:r>
            <w:rPr>
              <w:rStyle w:val="23"/>
              <w:rFonts w:ascii="Times New Roman" w:hAnsi="Times New Roman" w:eastAsia="黑体"/>
            </w:rPr>
            <w:t>2</w:t>
          </w:r>
          <w:r>
            <w:rPr>
              <w:rStyle w:val="23"/>
              <w:rFonts w:hint="eastAsia" w:ascii="Times New Roman" w:hAnsi="Times New Roman" w:eastAsia="黑体"/>
            </w:rPr>
            <w:t>.互联网房源信息发布平台、自媒体</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_Toc192845461 \h </w:instrText>
          </w:r>
          <w:r>
            <w:rPr>
              <w:rStyle w:val="23"/>
              <w:rFonts w:ascii="Times New Roman" w:hAnsi="Times New Roman" w:eastAsia="黑体"/>
            </w:rPr>
            <w:fldChar w:fldCharType="separate"/>
          </w:r>
          <w:r>
            <w:rPr>
              <w:rStyle w:val="23"/>
              <w:rFonts w:ascii="Times New Roman" w:hAnsi="Times New Roman" w:eastAsia="黑体"/>
            </w:rPr>
            <w:t>38</w:t>
          </w:r>
          <w:r>
            <w:rPr>
              <w:rStyle w:val="23"/>
              <w:rFonts w:ascii="Times New Roman" w:hAnsi="Times New Roman" w:eastAsia="黑体"/>
            </w:rPr>
            <w:fldChar w:fldCharType="end"/>
          </w:r>
          <w:r>
            <w:rPr>
              <w:rStyle w:val="23"/>
              <w:rFonts w:ascii="Times New Roman" w:hAnsi="Times New Roman" w:eastAsia="黑体"/>
            </w:rPr>
            <w:fldChar w:fldCharType="end"/>
          </w:r>
        </w:p>
        <w:p w14:paraId="56E34F29">
          <w:pPr>
            <w:pStyle w:val="16"/>
            <w:tabs>
              <w:tab w:val="right" w:leader="dot" w:pos="9060"/>
            </w:tabs>
            <w:ind w:firstLine="220" w:firstLineChars="100"/>
            <w:rPr>
              <w:rStyle w:val="23"/>
              <w:rFonts w:ascii="Times New Roman" w:hAnsi="Times New Roman" w:eastAsia="黑体"/>
            </w:rPr>
          </w:pPr>
          <w:r>
            <w:fldChar w:fldCharType="begin"/>
          </w:r>
          <w:r>
            <w:instrText xml:space="preserve"> HYPERLINK \l "_Toc192845462" </w:instrText>
          </w:r>
          <w:r>
            <w:fldChar w:fldCharType="separate"/>
          </w:r>
          <w:r>
            <w:rPr>
              <w:rStyle w:val="23"/>
              <w:rFonts w:ascii="Times New Roman" w:hAnsi="Times New Roman" w:eastAsia="黑体"/>
            </w:rPr>
            <w:t>3</w:t>
          </w:r>
          <w:r>
            <w:rPr>
              <w:rStyle w:val="23"/>
              <w:rFonts w:hint="eastAsia" w:ascii="Times New Roman" w:hAnsi="Times New Roman" w:eastAsia="黑体"/>
            </w:rPr>
            <w:t>.其他</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_Toc192845462 \h </w:instrText>
          </w:r>
          <w:r>
            <w:rPr>
              <w:rStyle w:val="23"/>
              <w:rFonts w:ascii="Times New Roman" w:hAnsi="Times New Roman" w:eastAsia="黑体"/>
            </w:rPr>
            <w:fldChar w:fldCharType="separate"/>
          </w:r>
          <w:r>
            <w:rPr>
              <w:rStyle w:val="23"/>
              <w:rFonts w:ascii="Times New Roman" w:hAnsi="Times New Roman" w:eastAsia="黑体"/>
            </w:rPr>
            <w:t>38</w:t>
          </w:r>
          <w:r>
            <w:rPr>
              <w:rStyle w:val="23"/>
              <w:rFonts w:ascii="Times New Roman" w:hAnsi="Times New Roman" w:eastAsia="黑体"/>
            </w:rPr>
            <w:fldChar w:fldCharType="end"/>
          </w:r>
          <w:r>
            <w:rPr>
              <w:rStyle w:val="23"/>
              <w:rFonts w:ascii="Times New Roman" w:hAnsi="Times New Roman" w:eastAsia="黑体"/>
            </w:rPr>
            <w:fldChar w:fldCharType="end"/>
          </w:r>
        </w:p>
        <w:p w14:paraId="6E474CFF">
          <w:pPr>
            <w:pStyle w:val="16"/>
            <w:tabs>
              <w:tab w:val="right" w:leader="dot" w:pos="9060"/>
            </w:tabs>
            <w:rPr>
              <w:rStyle w:val="23"/>
              <w:rFonts w:ascii="Times New Roman" w:hAnsi="Times New Roman" w:eastAsia="黑体"/>
            </w:rPr>
          </w:pPr>
          <w:r>
            <w:fldChar w:fldCharType="begin"/>
          </w:r>
          <w:r>
            <w:instrText xml:space="preserve"> HYPERLINK \l "_Toc192845463" </w:instrText>
          </w:r>
          <w:r>
            <w:fldChar w:fldCharType="separate"/>
          </w:r>
          <w:r>
            <w:rPr>
              <w:rStyle w:val="23"/>
              <w:rFonts w:hint="eastAsia" w:ascii="Times New Roman" w:hAnsi="Times New Roman" w:eastAsia="黑体"/>
            </w:rPr>
            <w:t>（三）区域分布</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_Toc192845463 \h </w:instrText>
          </w:r>
          <w:r>
            <w:rPr>
              <w:rStyle w:val="23"/>
              <w:rFonts w:ascii="Times New Roman" w:hAnsi="Times New Roman" w:eastAsia="黑体"/>
            </w:rPr>
            <w:fldChar w:fldCharType="separate"/>
          </w:r>
          <w:r>
            <w:rPr>
              <w:rStyle w:val="23"/>
              <w:rFonts w:ascii="Times New Roman" w:hAnsi="Times New Roman" w:eastAsia="黑体"/>
            </w:rPr>
            <w:t>38</w:t>
          </w:r>
          <w:r>
            <w:rPr>
              <w:rStyle w:val="23"/>
              <w:rFonts w:ascii="Times New Roman" w:hAnsi="Times New Roman" w:eastAsia="黑体"/>
            </w:rPr>
            <w:fldChar w:fldCharType="end"/>
          </w:r>
          <w:r>
            <w:rPr>
              <w:rStyle w:val="23"/>
              <w:rFonts w:ascii="Times New Roman" w:hAnsi="Times New Roman" w:eastAsia="黑体"/>
            </w:rPr>
            <w:fldChar w:fldCharType="end"/>
          </w:r>
        </w:p>
        <w:p w14:paraId="2A6BB57E">
          <w:pPr>
            <w:pStyle w:val="16"/>
            <w:tabs>
              <w:tab w:val="right" w:leader="dot" w:pos="9060"/>
            </w:tabs>
            <w:rPr>
              <w:rStyle w:val="23"/>
              <w:rFonts w:ascii="Times New Roman" w:hAnsi="Times New Roman" w:eastAsia="黑体"/>
            </w:rPr>
          </w:pPr>
          <w:r>
            <w:fldChar w:fldCharType="begin"/>
          </w:r>
          <w:r>
            <w:instrText xml:space="preserve"> HYPERLINK \l "_Toc192845464" </w:instrText>
          </w:r>
          <w:r>
            <w:fldChar w:fldCharType="separate"/>
          </w:r>
          <w:r>
            <w:rPr>
              <w:rStyle w:val="23"/>
              <w:rFonts w:hint="eastAsia" w:ascii="Times New Roman" w:hAnsi="Times New Roman" w:eastAsia="黑体"/>
            </w:rPr>
            <w:t>（四）投诉热点</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_Toc192845464 \h </w:instrText>
          </w:r>
          <w:r>
            <w:rPr>
              <w:rStyle w:val="23"/>
              <w:rFonts w:ascii="Times New Roman" w:hAnsi="Times New Roman" w:eastAsia="黑体"/>
            </w:rPr>
            <w:fldChar w:fldCharType="separate"/>
          </w:r>
          <w:r>
            <w:rPr>
              <w:rStyle w:val="23"/>
              <w:rFonts w:ascii="Times New Roman" w:hAnsi="Times New Roman" w:eastAsia="黑体"/>
            </w:rPr>
            <w:t>39</w:t>
          </w:r>
          <w:r>
            <w:rPr>
              <w:rStyle w:val="23"/>
              <w:rFonts w:ascii="Times New Roman" w:hAnsi="Times New Roman" w:eastAsia="黑体"/>
            </w:rPr>
            <w:fldChar w:fldCharType="end"/>
          </w:r>
          <w:r>
            <w:rPr>
              <w:rStyle w:val="23"/>
              <w:rFonts w:ascii="Times New Roman" w:hAnsi="Times New Roman" w:eastAsia="黑体"/>
            </w:rPr>
            <w:fldChar w:fldCharType="end"/>
          </w:r>
        </w:p>
        <w:p w14:paraId="2E8BC802">
          <w:pPr>
            <w:pStyle w:val="16"/>
            <w:tabs>
              <w:tab w:val="right" w:leader="dot" w:pos="9060"/>
            </w:tabs>
            <w:rPr>
              <w:rStyle w:val="23"/>
              <w:rFonts w:ascii="Times New Roman" w:hAnsi="Times New Roman" w:eastAsia="黑体"/>
              <w:b/>
              <w:sz w:val="24"/>
            </w:rPr>
          </w:pPr>
          <w:r>
            <w:fldChar w:fldCharType="begin"/>
          </w:r>
          <w:r>
            <w:instrText xml:space="preserve"> HYPERLINK \l "_Toc192845465" </w:instrText>
          </w:r>
          <w:r>
            <w:fldChar w:fldCharType="separate"/>
          </w:r>
          <w:r>
            <w:rPr>
              <w:rStyle w:val="23"/>
              <w:rFonts w:hint="eastAsia" w:ascii="Times New Roman" w:hAnsi="Times New Roman" w:eastAsia="黑体"/>
              <w:b/>
              <w:sz w:val="24"/>
            </w:rPr>
            <w:t>九、行业管理与自律举措</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_Toc192845465 \h </w:instrText>
          </w:r>
          <w:r>
            <w:rPr>
              <w:rStyle w:val="23"/>
              <w:rFonts w:ascii="Times New Roman" w:hAnsi="Times New Roman" w:eastAsia="黑体"/>
              <w:b/>
              <w:sz w:val="24"/>
            </w:rPr>
            <w:fldChar w:fldCharType="separate"/>
          </w:r>
          <w:r>
            <w:rPr>
              <w:rStyle w:val="23"/>
              <w:rFonts w:ascii="Times New Roman" w:hAnsi="Times New Roman" w:eastAsia="黑体"/>
              <w:b/>
              <w:sz w:val="24"/>
            </w:rPr>
            <w:t>40</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2143E502">
          <w:pPr>
            <w:pStyle w:val="16"/>
            <w:tabs>
              <w:tab w:val="right" w:leader="dot" w:pos="9060"/>
            </w:tabs>
            <w:rPr>
              <w:rStyle w:val="23"/>
              <w:rFonts w:ascii="Times New Roman" w:hAnsi="Times New Roman" w:eastAsia="黑体"/>
            </w:rPr>
          </w:pPr>
          <w:r>
            <w:fldChar w:fldCharType="begin"/>
          </w:r>
          <w:r>
            <w:instrText xml:space="preserve"> HYPERLINK \l "_Toc192845466" </w:instrText>
          </w:r>
          <w:r>
            <w:fldChar w:fldCharType="separate"/>
          </w:r>
          <w:r>
            <w:rPr>
              <w:rStyle w:val="23"/>
              <w:rFonts w:hint="eastAsia" w:ascii="Times New Roman" w:hAnsi="Times New Roman" w:eastAsia="黑体"/>
            </w:rPr>
            <w:t>（一）加大《房地产中介服务规范》培训力度</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_Toc192845466 \h </w:instrText>
          </w:r>
          <w:r>
            <w:rPr>
              <w:rStyle w:val="23"/>
              <w:rFonts w:ascii="Times New Roman" w:hAnsi="Times New Roman" w:eastAsia="黑体"/>
            </w:rPr>
            <w:fldChar w:fldCharType="separate"/>
          </w:r>
          <w:r>
            <w:rPr>
              <w:rStyle w:val="23"/>
              <w:rFonts w:ascii="Times New Roman" w:hAnsi="Times New Roman" w:eastAsia="黑体"/>
            </w:rPr>
            <w:t>40</w:t>
          </w:r>
          <w:r>
            <w:rPr>
              <w:rStyle w:val="23"/>
              <w:rFonts w:ascii="Times New Roman" w:hAnsi="Times New Roman" w:eastAsia="黑体"/>
            </w:rPr>
            <w:fldChar w:fldCharType="end"/>
          </w:r>
          <w:r>
            <w:rPr>
              <w:rStyle w:val="23"/>
              <w:rFonts w:ascii="Times New Roman" w:hAnsi="Times New Roman" w:eastAsia="黑体"/>
            </w:rPr>
            <w:fldChar w:fldCharType="end"/>
          </w:r>
        </w:p>
        <w:p w14:paraId="7F6BE373">
          <w:pPr>
            <w:pStyle w:val="16"/>
            <w:tabs>
              <w:tab w:val="right" w:leader="dot" w:pos="9060"/>
            </w:tabs>
            <w:rPr>
              <w:rStyle w:val="23"/>
              <w:rFonts w:ascii="Times New Roman" w:hAnsi="Times New Roman" w:eastAsia="黑体"/>
            </w:rPr>
          </w:pPr>
          <w:r>
            <w:fldChar w:fldCharType="begin"/>
          </w:r>
          <w:r>
            <w:instrText xml:space="preserve"> HYPERLINK \l "_Toc192845467" </w:instrText>
          </w:r>
          <w:r>
            <w:fldChar w:fldCharType="separate"/>
          </w:r>
          <w:r>
            <w:rPr>
              <w:rStyle w:val="23"/>
              <w:rFonts w:hint="eastAsia" w:ascii="Times New Roman" w:hAnsi="Times New Roman" w:eastAsia="黑体"/>
            </w:rPr>
            <w:t>（二）进一步推动存量房交易资金托管</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_Toc192845467 \h </w:instrText>
          </w:r>
          <w:r>
            <w:rPr>
              <w:rStyle w:val="23"/>
              <w:rFonts w:ascii="Times New Roman" w:hAnsi="Times New Roman" w:eastAsia="黑体"/>
            </w:rPr>
            <w:fldChar w:fldCharType="separate"/>
          </w:r>
          <w:r>
            <w:rPr>
              <w:rStyle w:val="23"/>
              <w:rFonts w:ascii="Times New Roman" w:hAnsi="Times New Roman" w:eastAsia="黑体"/>
            </w:rPr>
            <w:t>41</w:t>
          </w:r>
          <w:r>
            <w:rPr>
              <w:rStyle w:val="23"/>
              <w:rFonts w:ascii="Times New Roman" w:hAnsi="Times New Roman" w:eastAsia="黑体"/>
            </w:rPr>
            <w:fldChar w:fldCharType="end"/>
          </w:r>
          <w:r>
            <w:rPr>
              <w:rStyle w:val="23"/>
              <w:rFonts w:ascii="Times New Roman" w:hAnsi="Times New Roman" w:eastAsia="黑体"/>
            </w:rPr>
            <w:fldChar w:fldCharType="end"/>
          </w:r>
        </w:p>
        <w:p w14:paraId="31452D3F">
          <w:pPr>
            <w:pStyle w:val="16"/>
            <w:tabs>
              <w:tab w:val="right" w:leader="dot" w:pos="9060"/>
            </w:tabs>
            <w:rPr>
              <w:rStyle w:val="23"/>
              <w:rFonts w:ascii="Times New Roman" w:hAnsi="Times New Roman" w:eastAsia="黑体"/>
            </w:rPr>
          </w:pPr>
          <w:r>
            <w:fldChar w:fldCharType="begin"/>
          </w:r>
          <w:r>
            <w:instrText xml:space="preserve"> HYPERLINK \l "_Toc192845468" </w:instrText>
          </w:r>
          <w:r>
            <w:fldChar w:fldCharType="separate"/>
          </w:r>
          <w:r>
            <w:rPr>
              <w:rStyle w:val="23"/>
              <w:rFonts w:hint="eastAsia" w:ascii="Times New Roman" w:hAnsi="Times New Roman" w:eastAsia="黑体"/>
            </w:rPr>
            <w:t>（三）继续推行阳光承诺</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_Toc192845468 \h </w:instrText>
          </w:r>
          <w:r>
            <w:rPr>
              <w:rStyle w:val="23"/>
              <w:rFonts w:ascii="Times New Roman" w:hAnsi="Times New Roman" w:eastAsia="黑体"/>
            </w:rPr>
            <w:fldChar w:fldCharType="separate"/>
          </w:r>
          <w:r>
            <w:rPr>
              <w:rStyle w:val="23"/>
              <w:rFonts w:ascii="Times New Roman" w:hAnsi="Times New Roman" w:eastAsia="黑体"/>
            </w:rPr>
            <w:t>41</w:t>
          </w:r>
          <w:r>
            <w:rPr>
              <w:rStyle w:val="23"/>
              <w:rFonts w:ascii="Times New Roman" w:hAnsi="Times New Roman" w:eastAsia="黑体"/>
            </w:rPr>
            <w:fldChar w:fldCharType="end"/>
          </w:r>
          <w:r>
            <w:rPr>
              <w:rStyle w:val="23"/>
              <w:rFonts w:ascii="Times New Roman" w:hAnsi="Times New Roman" w:eastAsia="黑体"/>
            </w:rPr>
            <w:fldChar w:fldCharType="end"/>
          </w:r>
        </w:p>
        <w:p w14:paraId="1F849DF7">
          <w:pPr>
            <w:pStyle w:val="16"/>
            <w:tabs>
              <w:tab w:val="right" w:leader="dot" w:pos="9060"/>
            </w:tabs>
            <w:rPr>
              <w:rStyle w:val="23"/>
              <w:rFonts w:ascii="Times New Roman" w:hAnsi="Times New Roman" w:eastAsia="黑体"/>
            </w:rPr>
          </w:pPr>
          <w:r>
            <w:fldChar w:fldCharType="begin"/>
          </w:r>
          <w:r>
            <w:instrText xml:space="preserve"> HYPERLINK \l "_Toc192845469" </w:instrText>
          </w:r>
          <w:r>
            <w:fldChar w:fldCharType="separate"/>
          </w:r>
          <w:r>
            <w:rPr>
              <w:rStyle w:val="23"/>
              <w:rFonts w:hint="eastAsia" w:ascii="Times New Roman" w:hAnsi="Times New Roman" w:eastAsia="黑体"/>
            </w:rPr>
            <w:t>（四）开展房产交易知识便民咨询宣传月活动</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_Toc192845469 \h </w:instrText>
          </w:r>
          <w:r>
            <w:rPr>
              <w:rStyle w:val="23"/>
              <w:rFonts w:ascii="Times New Roman" w:hAnsi="Times New Roman" w:eastAsia="黑体"/>
            </w:rPr>
            <w:fldChar w:fldCharType="separate"/>
          </w:r>
          <w:r>
            <w:rPr>
              <w:rStyle w:val="23"/>
              <w:rFonts w:ascii="Times New Roman" w:hAnsi="Times New Roman" w:eastAsia="黑体"/>
            </w:rPr>
            <w:t>43</w:t>
          </w:r>
          <w:r>
            <w:rPr>
              <w:rStyle w:val="23"/>
              <w:rFonts w:ascii="Times New Roman" w:hAnsi="Times New Roman" w:eastAsia="黑体"/>
            </w:rPr>
            <w:fldChar w:fldCharType="end"/>
          </w:r>
          <w:r>
            <w:rPr>
              <w:rStyle w:val="23"/>
              <w:rFonts w:ascii="Times New Roman" w:hAnsi="Times New Roman" w:eastAsia="黑体"/>
            </w:rPr>
            <w:fldChar w:fldCharType="end"/>
          </w:r>
        </w:p>
        <w:p w14:paraId="3E550DE2">
          <w:pPr>
            <w:pStyle w:val="16"/>
            <w:tabs>
              <w:tab w:val="right" w:leader="dot" w:pos="9060"/>
            </w:tabs>
            <w:rPr>
              <w:rStyle w:val="23"/>
              <w:rFonts w:ascii="Times New Roman" w:hAnsi="Times New Roman" w:eastAsia="黑体"/>
            </w:rPr>
          </w:pPr>
          <w:r>
            <w:fldChar w:fldCharType="begin"/>
          </w:r>
          <w:r>
            <w:instrText xml:space="preserve"> HYPERLINK \l "_Toc192845470" </w:instrText>
          </w:r>
          <w:r>
            <w:fldChar w:fldCharType="separate"/>
          </w:r>
          <w:r>
            <w:rPr>
              <w:rStyle w:val="23"/>
              <w:rFonts w:hint="eastAsia" w:ascii="Times New Roman" w:hAnsi="Times New Roman" w:eastAsia="黑体"/>
            </w:rPr>
            <w:t>（五）开展房地产中介行业自律主题宣传活动</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_Toc192845470 \h </w:instrText>
          </w:r>
          <w:r>
            <w:rPr>
              <w:rStyle w:val="23"/>
              <w:rFonts w:ascii="Times New Roman" w:hAnsi="Times New Roman" w:eastAsia="黑体"/>
            </w:rPr>
            <w:fldChar w:fldCharType="separate"/>
          </w:r>
          <w:r>
            <w:rPr>
              <w:rStyle w:val="23"/>
              <w:rFonts w:ascii="Times New Roman" w:hAnsi="Times New Roman" w:eastAsia="黑体"/>
            </w:rPr>
            <w:t>43</w:t>
          </w:r>
          <w:r>
            <w:rPr>
              <w:rStyle w:val="23"/>
              <w:rFonts w:ascii="Times New Roman" w:hAnsi="Times New Roman" w:eastAsia="黑体"/>
            </w:rPr>
            <w:fldChar w:fldCharType="end"/>
          </w:r>
          <w:r>
            <w:rPr>
              <w:rStyle w:val="23"/>
              <w:rFonts w:ascii="Times New Roman" w:hAnsi="Times New Roman" w:eastAsia="黑体"/>
            </w:rPr>
            <w:fldChar w:fldCharType="end"/>
          </w:r>
        </w:p>
        <w:p w14:paraId="6614515B">
          <w:pPr>
            <w:pStyle w:val="16"/>
            <w:tabs>
              <w:tab w:val="right" w:leader="dot" w:pos="9060"/>
            </w:tabs>
            <w:rPr>
              <w:rStyle w:val="23"/>
              <w:rFonts w:ascii="Times New Roman" w:hAnsi="Times New Roman" w:eastAsia="黑体"/>
            </w:rPr>
          </w:pPr>
          <w:r>
            <w:fldChar w:fldCharType="begin"/>
          </w:r>
          <w:r>
            <w:instrText xml:space="preserve"> HYPERLINK \l "_Toc192845471" </w:instrText>
          </w:r>
          <w:r>
            <w:fldChar w:fldCharType="separate"/>
          </w:r>
          <w:r>
            <w:rPr>
              <w:rStyle w:val="23"/>
              <w:rFonts w:hint="eastAsia" w:ascii="Times New Roman" w:hAnsi="Times New Roman" w:eastAsia="黑体"/>
            </w:rPr>
            <w:t>（六）持续推动行业信用评价数据共享</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_Toc192845471 \h </w:instrText>
          </w:r>
          <w:r>
            <w:rPr>
              <w:rStyle w:val="23"/>
              <w:rFonts w:ascii="Times New Roman" w:hAnsi="Times New Roman" w:eastAsia="黑体"/>
            </w:rPr>
            <w:fldChar w:fldCharType="separate"/>
          </w:r>
          <w:r>
            <w:rPr>
              <w:rStyle w:val="23"/>
              <w:rFonts w:ascii="Times New Roman" w:hAnsi="Times New Roman" w:eastAsia="黑体"/>
            </w:rPr>
            <w:t>44</w:t>
          </w:r>
          <w:r>
            <w:rPr>
              <w:rStyle w:val="23"/>
              <w:rFonts w:ascii="Times New Roman" w:hAnsi="Times New Roman" w:eastAsia="黑体"/>
            </w:rPr>
            <w:fldChar w:fldCharType="end"/>
          </w:r>
          <w:r>
            <w:rPr>
              <w:rStyle w:val="23"/>
              <w:rFonts w:ascii="Times New Roman" w:hAnsi="Times New Roman" w:eastAsia="黑体"/>
            </w:rPr>
            <w:fldChar w:fldCharType="end"/>
          </w:r>
        </w:p>
        <w:p w14:paraId="2592E26C">
          <w:pPr>
            <w:pStyle w:val="16"/>
            <w:tabs>
              <w:tab w:val="right" w:leader="dot" w:pos="9060"/>
            </w:tabs>
            <w:rPr>
              <w:rStyle w:val="23"/>
              <w:rFonts w:ascii="Times New Roman" w:hAnsi="Times New Roman" w:eastAsia="黑体"/>
            </w:rPr>
          </w:pPr>
          <w:r>
            <w:fldChar w:fldCharType="begin"/>
          </w:r>
          <w:r>
            <w:instrText xml:space="preserve"> HYPERLINK \l "_Toc192845472" </w:instrText>
          </w:r>
          <w:r>
            <w:fldChar w:fldCharType="separate"/>
          </w:r>
          <w:r>
            <w:rPr>
              <w:rStyle w:val="23"/>
              <w:rFonts w:hint="eastAsia" w:ascii="Times New Roman" w:hAnsi="Times New Roman" w:eastAsia="黑体"/>
            </w:rPr>
            <w:t>（七）通过同业监督机制净化行业用人环境</w:t>
          </w:r>
          <w:r>
            <w:rPr>
              <w:rStyle w:val="23"/>
              <w:rFonts w:ascii="Times New Roman" w:hAnsi="Times New Roman" w:eastAsia="黑体"/>
            </w:rPr>
            <w:tab/>
          </w:r>
          <w:r>
            <w:rPr>
              <w:rStyle w:val="23"/>
              <w:rFonts w:ascii="Times New Roman" w:hAnsi="Times New Roman" w:eastAsia="黑体"/>
            </w:rPr>
            <w:fldChar w:fldCharType="begin"/>
          </w:r>
          <w:r>
            <w:rPr>
              <w:rStyle w:val="23"/>
              <w:rFonts w:ascii="Times New Roman" w:hAnsi="Times New Roman" w:eastAsia="黑体"/>
            </w:rPr>
            <w:instrText xml:space="preserve"> PAGEREF _Toc192845472 \h </w:instrText>
          </w:r>
          <w:r>
            <w:rPr>
              <w:rStyle w:val="23"/>
              <w:rFonts w:ascii="Times New Roman" w:hAnsi="Times New Roman" w:eastAsia="黑体"/>
            </w:rPr>
            <w:fldChar w:fldCharType="separate"/>
          </w:r>
          <w:r>
            <w:rPr>
              <w:rStyle w:val="23"/>
              <w:rFonts w:ascii="Times New Roman" w:hAnsi="Times New Roman" w:eastAsia="黑体"/>
            </w:rPr>
            <w:t>45</w:t>
          </w:r>
          <w:r>
            <w:rPr>
              <w:rStyle w:val="23"/>
              <w:rFonts w:ascii="Times New Roman" w:hAnsi="Times New Roman" w:eastAsia="黑体"/>
            </w:rPr>
            <w:fldChar w:fldCharType="end"/>
          </w:r>
          <w:r>
            <w:rPr>
              <w:rStyle w:val="23"/>
              <w:rFonts w:ascii="Times New Roman" w:hAnsi="Times New Roman" w:eastAsia="黑体"/>
            </w:rPr>
            <w:fldChar w:fldCharType="end"/>
          </w:r>
        </w:p>
        <w:p w14:paraId="52F65D1A">
          <w:pPr>
            <w:pStyle w:val="16"/>
            <w:tabs>
              <w:tab w:val="right" w:leader="dot" w:pos="9060"/>
            </w:tabs>
            <w:rPr>
              <w:rStyle w:val="23"/>
              <w:rFonts w:ascii="Times New Roman" w:hAnsi="Times New Roman" w:eastAsia="黑体"/>
              <w:b/>
              <w:sz w:val="24"/>
            </w:rPr>
          </w:pPr>
          <w:r>
            <w:fldChar w:fldCharType="begin"/>
          </w:r>
          <w:r>
            <w:instrText xml:space="preserve"> HYPERLINK \l "_Toc192845473" </w:instrText>
          </w:r>
          <w:r>
            <w:fldChar w:fldCharType="separate"/>
          </w:r>
          <w:r>
            <w:rPr>
              <w:rStyle w:val="23"/>
              <w:rFonts w:hint="eastAsia" w:ascii="Times New Roman" w:hAnsi="Times New Roman" w:eastAsia="黑体"/>
              <w:b/>
              <w:sz w:val="24"/>
            </w:rPr>
            <w:t>十、下一步工作计划</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_Toc192845473 \h </w:instrText>
          </w:r>
          <w:r>
            <w:rPr>
              <w:rStyle w:val="23"/>
              <w:rFonts w:ascii="Times New Roman" w:hAnsi="Times New Roman" w:eastAsia="黑体"/>
              <w:b/>
              <w:sz w:val="24"/>
            </w:rPr>
            <w:fldChar w:fldCharType="separate"/>
          </w:r>
          <w:r>
            <w:rPr>
              <w:rStyle w:val="23"/>
              <w:rFonts w:ascii="Times New Roman" w:hAnsi="Times New Roman" w:eastAsia="黑体"/>
              <w:b/>
              <w:sz w:val="24"/>
            </w:rPr>
            <w:t>46</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3D203A7E">
          <w:pPr>
            <w:pStyle w:val="16"/>
            <w:tabs>
              <w:tab w:val="right" w:leader="dot" w:pos="9060"/>
            </w:tabs>
            <w:rPr>
              <w:rStyle w:val="23"/>
              <w:rFonts w:ascii="Times New Roman" w:hAnsi="Times New Roman" w:eastAsia="黑体"/>
              <w:b/>
              <w:sz w:val="24"/>
            </w:rPr>
          </w:pPr>
          <w:r>
            <w:fldChar w:fldCharType="begin"/>
          </w:r>
          <w:r>
            <w:instrText xml:space="preserve"> HYPERLINK \l "_Toc192845474" </w:instrText>
          </w:r>
          <w:r>
            <w:fldChar w:fldCharType="separate"/>
          </w:r>
          <w:r>
            <w:rPr>
              <w:rStyle w:val="23"/>
              <w:rFonts w:hint="eastAsia" w:ascii="Times New Roman" w:hAnsi="Times New Roman" w:eastAsia="黑体"/>
              <w:b/>
              <w:sz w:val="24"/>
            </w:rPr>
            <w:t>附件</w:t>
          </w:r>
          <w:r>
            <w:rPr>
              <w:rStyle w:val="23"/>
              <w:rFonts w:ascii="Times New Roman" w:hAnsi="Times New Roman" w:eastAsia="黑体"/>
              <w:b/>
              <w:sz w:val="24"/>
            </w:rPr>
            <w:tab/>
          </w:r>
          <w:r>
            <w:rPr>
              <w:rStyle w:val="23"/>
              <w:rFonts w:ascii="Times New Roman" w:hAnsi="Times New Roman" w:eastAsia="黑体"/>
              <w:b/>
              <w:sz w:val="24"/>
            </w:rPr>
            <w:fldChar w:fldCharType="begin"/>
          </w:r>
          <w:r>
            <w:rPr>
              <w:rStyle w:val="23"/>
              <w:rFonts w:ascii="Times New Roman" w:hAnsi="Times New Roman" w:eastAsia="黑体"/>
              <w:b/>
              <w:sz w:val="24"/>
            </w:rPr>
            <w:instrText xml:space="preserve"> PAGEREF _Toc192845474 \h </w:instrText>
          </w:r>
          <w:r>
            <w:rPr>
              <w:rStyle w:val="23"/>
              <w:rFonts w:ascii="Times New Roman" w:hAnsi="Times New Roman" w:eastAsia="黑体"/>
              <w:b/>
              <w:sz w:val="24"/>
            </w:rPr>
            <w:fldChar w:fldCharType="separate"/>
          </w:r>
          <w:r>
            <w:rPr>
              <w:rStyle w:val="23"/>
              <w:rFonts w:ascii="Times New Roman" w:hAnsi="Times New Roman" w:eastAsia="黑体"/>
              <w:b/>
              <w:sz w:val="24"/>
            </w:rPr>
            <w:t>48</w:t>
          </w:r>
          <w:r>
            <w:rPr>
              <w:rStyle w:val="23"/>
              <w:rFonts w:ascii="Times New Roman" w:hAnsi="Times New Roman" w:eastAsia="黑体"/>
              <w:b/>
              <w:sz w:val="24"/>
            </w:rPr>
            <w:fldChar w:fldCharType="end"/>
          </w:r>
          <w:r>
            <w:rPr>
              <w:rStyle w:val="23"/>
              <w:rFonts w:ascii="Times New Roman" w:hAnsi="Times New Roman" w:eastAsia="黑体"/>
              <w:b/>
              <w:sz w:val="24"/>
            </w:rPr>
            <w:fldChar w:fldCharType="end"/>
          </w:r>
        </w:p>
        <w:p w14:paraId="090AA5C3">
          <w:pPr>
            <w:pStyle w:val="16"/>
            <w:tabs>
              <w:tab w:val="right" w:leader="dot" w:pos="9060"/>
            </w:tabs>
            <w:rPr>
              <w:rFonts w:ascii="Times New Roman" w:hAnsi="Times New Roman"/>
              <w:color w:val="FF0000"/>
            </w:rPr>
          </w:pPr>
          <w:r>
            <w:rPr>
              <w:rStyle w:val="23"/>
              <w:rFonts w:eastAsia="黑体"/>
            </w:rPr>
            <w:fldChar w:fldCharType="end"/>
          </w:r>
        </w:p>
      </w:sdtContent>
    </w:sdt>
    <w:p w14:paraId="6AE674B0">
      <w:pPr>
        <w:pStyle w:val="2"/>
        <w:keepNext w:val="0"/>
        <w:pageBreakBefore/>
        <w:spacing w:before="120" w:beforeLines="50" w:after="120" w:afterLines="50" w:line="520" w:lineRule="exact"/>
        <w:rPr>
          <w:rFonts w:ascii="Times New Roman" w:hAnsi="Times New Roman" w:eastAsia="黑体"/>
          <w:bCs w:val="0"/>
          <w:color w:val="000000" w:themeColor="text1"/>
          <w:sz w:val="32"/>
          <w:szCs w:val="24"/>
          <w14:textFill>
            <w14:solidFill>
              <w14:schemeClr w14:val="tx1"/>
            </w14:solidFill>
          </w14:textFill>
        </w:rPr>
        <w:sectPr>
          <w:footerReference r:id="rId6" w:type="first"/>
          <w:footerReference r:id="rId5" w:type="default"/>
          <w:pgSz w:w="11906" w:h="16838"/>
          <w:pgMar w:top="1418" w:right="1418" w:bottom="1418" w:left="1418" w:header="851" w:footer="992" w:gutter="0"/>
          <w:pgNumType w:chapStyle="1"/>
          <w:cols w:space="425" w:num="1"/>
          <w:titlePg/>
          <w:docGrid w:linePitch="312" w:charSpace="0"/>
        </w:sectPr>
      </w:pPr>
      <w:bookmarkStart w:id="0" w:name="_Toc98168313"/>
    </w:p>
    <w:p w14:paraId="2E6F74EA">
      <w:pPr>
        <w:pageBreakBefore/>
        <w:spacing w:before="120" w:beforeLines="50" w:after="120" w:afterLines="50" w:line="560" w:lineRule="exact"/>
        <w:rPr>
          <w:rFonts w:ascii="Times New Roman" w:hAnsi="Times New Roman" w:eastAsia="仿宋_GB2312"/>
          <w:kern w:val="0"/>
          <w:sz w:val="32"/>
          <w:szCs w:val="32"/>
          <w:lang w:val="zh-TW"/>
        </w:rPr>
      </w:pPr>
      <w:r>
        <w:rPr>
          <w:rFonts w:hint="eastAsia" w:ascii="Times New Roman" w:hAnsi="Times New Roman" w:eastAsia="仿宋_GB2312"/>
          <w:b/>
          <w:color w:val="000000" w:themeColor="text1"/>
          <w:kern w:val="0"/>
          <w:sz w:val="32"/>
          <w:szCs w:val="32"/>
          <w:lang w:val="zh-TW"/>
          <w14:textFill>
            <w14:solidFill>
              <w14:schemeClr w14:val="tx1"/>
            </w14:solidFill>
          </w14:textFill>
        </w:rPr>
        <w:t>导读：</w:t>
      </w:r>
      <w:r>
        <w:rPr>
          <w:rFonts w:hint="eastAsia" w:ascii="Times New Roman" w:hAnsi="Times New Roman" w:eastAsia="仿宋_GB2312"/>
          <w:color w:val="000000" w:themeColor="text1"/>
          <w:kern w:val="0"/>
          <w:sz w:val="32"/>
          <w:szCs w:val="32"/>
          <w:lang w:val="zh-TW"/>
          <w14:textFill>
            <w14:solidFill>
              <w14:schemeClr w14:val="tx1"/>
            </w14:solidFill>
          </w14:textFill>
        </w:rPr>
        <w:t>截至</w:t>
      </w:r>
      <w:r>
        <w:rPr>
          <w:rFonts w:ascii="Times New Roman" w:hAnsi="Times New Roman" w:eastAsia="仿宋_GB2312"/>
          <w:color w:val="000000" w:themeColor="text1"/>
          <w:kern w:val="0"/>
          <w:sz w:val="32"/>
          <w:szCs w:val="32"/>
          <w:lang w:val="zh-TW"/>
          <w14:textFill>
            <w14:solidFill>
              <w14:schemeClr w14:val="tx1"/>
            </w14:solidFill>
          </w14:textFill>
        </w:rPr>
        <w:t>202</w:t>
      </w:r>
      <w:r>
        <w:rPr>
          <w:rFonts w:hint="eastAsia" w:ascii="Times New Roman" w:hAnsi="Times New Roman" w:eastAsia="仿宋_GB2312"/>
          <w:color w:val="000000" w:themeColor="text1"/>
          <w:kern w:val="0"/>
          <w:sz w:val="32"/>
          <w:szCs w:val="32"/>
          <w:lang w:val="zh-TW"/>
          <w14:textFill>
            <w14:solidFill>
              <w14:schemeClr w14:val="tx1"/>
            </w14:solidFill>
          </w14:textFill>
        </w:rPr>
        <w:t>4年末</w:t>
      </w:r>
      <w:r>
        <w:rPr>
          <w:rStyle w:val="25"/>
          <w:rFonts w:ascii="Times New Roman" w:hAnsi="Times New Roman" w:eastAsia="仿宋_GB2312"/>
          <w:color w:val="000000" w:themeColor="text1"/>
          <w:kern w:val="0"/>
          <w:sz w:val="32"/>
          <w:szCs w:val="32"/>
          <w:lang w:val="zh-TW"/>
          <w14:textFill>
            <w14:solidFill>
              <w14:schemeClr w14:val="tx1"/>
            </w14:solidFill>
          </w14:textFill>
        </w:rPr>
        <w:footnoteReference w:id="0"/>
      </w:r>
      <w:r>
        <w:rPr>
          <w:rFonts w:hint="eastAsia" w:ascii="Times New Roman" w:hAnsi="Times New Roman" w:eastAsia="仿宋_GB2312"/>
          <w:color w:val="000000" w:themeColor="text1"/>
          <w:kern w:val="0"/>
          <w:sz w:val="32"/>
          <w:szCs w:val="32"/>
          <w:lang w:val="zh-TW"/>
          <w14:textFill>
            <w14:solidFill>
              <w14:schemeClr w14:val="tx1"/>
            </w14:solidFill>
          </w14:textFill>
        </w:rPr>
        <w:t>，广州市房地产中介行业已建立信用档案且备案证书有效的房地产中介机构</w:t>
      </w:r>
      <w:r>
        <w:rPr>
          <w:rFonts w:ascii="Times New Roman" w:hAnsi="Times New Roman" w:eastAsia="仿宋_GB2312"/>
          <w:color w:val="000000" w:themeColor="text1"/>
          <w:kern w:val="0"/>
          <w:sz w:val="32"/>
          <w:szCs w:val="32"/>
          <w:lang w:val="zh-TW"/>
          <w14:textFill>
            <w14:solidFill>
              <w14:schemeClr w14:val="tx1"/>
            </w14:solidFill>
          </w14:textFill>
        </w:rPr>
        <w:t>（以下简称</w:t>
      </w:r>
      <w:r>
        <w:rPr>
          <w:rFonts w:hint="eastAsia" w:ascii="仿宋_GB2312" w:hAnsi="Times New Roman" w:eastAsia="仿宋_GB2312"/>
          <w:color w:val="000000" w:themeColor="text1"/>
          <w:kern w:val="0"/>
          <w:sz w:val="32"/>
          <w:szCs w:val="32"/>
          <w:lang w:val="zh-TW"/>
          <w14:textFill>
            <w14:solidFill>
              <w14:schemeClr w14:val="tx1"/>
            </w14:solidFill>
          </w14:textFill>
        </w:rPr>
        <w:t>“中介机构”</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共计</w:t>
      </w:r>
      <w:r>
        <w:rPr>
          <w:rFonts w:ascii="Times New Roman" w:hAnsi="Times New Roman" w:eastAsia="仿宋_GB2312"/>
          <w:color w:val="000000" w:themeColor="text1"/>
          <w:kern w:val="0"/>
          <w:sz w:val="32"/>
          <w:szCs w:val="32"/>
          <w:lang w:val="zh-TW"/>
          <w14:textFill>
            <w14:solidFill>
              <w14:schemeClr w14:val="tx1"/>
            </w14:solidFill>
          </w14:textFill>
        </w:rPr>
        <w:t>3459</w:t>
      </w:r>
      <w:r>
        <w:rPr>
          <w:rFonts w:hint="eastAsia" w:ascii="Times New Roman" w:hAnsi="Times New Roman" w:eastAsia="仿宋_GB2312"/>
          <w:color w:val="000000" w:themeColor="text1"/>
          <w:kern w:val="0"/>
          <w:sz w:val="32"/>
          <w:szCs w:val="32"/>
          <w:lang w:val="zh-TW"/>
          <w14:textFill>
            <w14:solidFill>
              <w14:schemeClr w14:val="tx1"/>
            </w14:solidFill>
          </w14:textFill>
        </w:rPr>
        <w:t>家，同比202</w:t>
      </w:r>
      <w:r>
        <w:rPr>
          <w:rFonts w:hint="eastAsia" w:ascii="Times New Roman" w:hAnsi="Times New Roman" w:eastAsia="仿宋_GB2312"/>
          <w:color w:val="000000" w:themeColor="text1"/>
          <w:kern w:val="0"/>
          <w:sz w:val="32"/>
          <w:szCs w:val="32"/>
          <w14:textFill>
            <w14:solidFill>
              <w14:schemeClr w14:val="tx1"/>
            </w14:solidFill>
          </w14:textFill>
        </w:rPr>
        <w:t>3</w:t>
      </w:r>
      <w:r>
        <w:rPr>
          <w:rFonts w:hint="eastAsia" w:ascii="Times New Roman" w:hAnsi="Times New Roman" w:eastAsia="仿宋_GB2312"/>
          <w:color w:val="000000" w:themeColor="text1"/>
          <w:kern w:val="0"/>
          <w:sz w:val="32"/>
          <w:szCs w:val="32"/>
          <w:lang w:val="zh-TW"/>
          <w14:textFill>
            <w14:solidFill>
              <w14:schemeClr w14:val="tx1"/>
            </w14:solidFill>
          </w14:textFill>
        </w:rPr>
        <w:t>年增加157家。其中信用等级为“优质”的有20家，“良好”的</w:t>
      </w:r>
      <w:r>
        <w:rPr>
          <w:rFonts w:ascii="Times New Roman" w:hAnsi="Times New Roman" w:eastAsia="仿宋_GB2312"/>
          <w:color w:val="000000" w:themeColor="text1"/>
          <w:kern w:val="0"/>
          <w:sz w:val="32"/>
          <w:szCs w:val="32"/>
          <w:lang w:val="zh-TW"/>
          <w14:textFill>
            <w14:solidFill>
              <w14:schemeClr w14:val="tx1"/>
            </w14:solidFill>
          </w14:textFill>
        </w:rPr>
        <w:t>17</w:t>
      </w:r>
      <w:r>
        <w:rPr>
          <w:rFonts w:hint="eastAsia" w:ascii="Times New Roman" w:hAnsi="Times New Roman" w:eastAsia="仿宋_GB2312"/>
          <w:color w:val="000000" w:themeColor="text1"/>
          <w:kern w:val="0"/>
          <w:sz w:val="32"/>
          <w:szCs w:val="32"/>
          <w:lang w:val="zh-TW"/>
          <w14:textFill>
            <w14:solidFill>
              <w14:schemeClr w14:val="tx1"/>
            </w14:solidFill>
          </w14:textFill>
        </w:rPr>
        <w:t>家</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“诚信”的2203家、“暂定诚信”的1217家</w:t>
      </w:r>
      <w:r>
        <w:rPr>
          <w:rFonts w:hint="eastAsia" w:ascii="Times New Roman" w:hAnsi="Times New Roman" w:eastAsia="仿宋_GB2312"/>
          <w:kern w:val="0"/>
          <w:sz w:val="32"/>
          <w:szCs w:val="32"/>
          <w:lang w:val="zh-TW"/>
        </w:rPr>
        <w:t>，</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预警</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的</w:t>
      </w:r>
      <w:r>
        <w:rPr>
          <w:rFonts w:hint="eastAsia" w:ascii="Times New Roman" w:hAnsi="Times New Roman" w:eastAsia="仿宋_GB2312"/>
          <w:color w:val="000000" w:themeColor="text1"/>
          <w:kern w:val="0"/>
          <w:sz w:val="32"/>
          <w:szCs w:val="32"/>
          <w:lang w:val="zh-TW"/>
          <w14:textFill>
            <w14:solidFill>
              <w14:schemeClr w14:val="tx1"/>
            </w14:solidFill>
          </w14:textFill>
        </w:rPr>
        <w:t>2家，</w:t>
      </w:r>
      <w:r>
        <w:rPr>
          <w:rFonts w:hint="eastAsia" w:ascii="Times New Roman" w:hAnsi="Times New Roman" w:eastAsia="仿宋_GB2312"/>
          <w:kern w:val="0"/>
          <w:sz w:val="32"/>
          <w:szCs w:val="32"/>
          <w:lang w:val="zh-TW"/>
        </w:rPr>
        <w:t>无信用等级为“失信”的中介机构。</w:t>
      </w:r>
    </w:p>
    <w:p w14:paraId="5521222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sectPr>
          <w:footerReference r:id="rId8" w:type="first"/>
          <w:footerReference r:id="rId7" w:type="default"/>
          <w:pgSz w:w="11906" w:h="16838"/>
          <w:pgMar w:top="1418" w:right="1418" w:bottom="1418" w:left="1418" w:header="851" w:footer="1020" w:gutter="0"/>
          <w:pgNumType w:start="1" w:chapStyle="1"/>
          <w:cols w:space="425" w:num="1"/>
          <w:titlePg/>
          <w:docGrid w:linePitch="312" w:charSpace="0"/>
        </w:sectPr>
      </w:pPr>
      <w:r>
        <w:rPr>
          <w:rFonts w:hint="eastAsia" w:ascii="Times New Roman" w:hAnsi="Times New Roman" w:eastAsia="仿宋_GB2312"/>
          <w:color w:val="000000" w:themeColor="text1"/>
          <w:kern w:val="0"/>
          <w:sz w:val="32"/>
          <w:szCs w:val="32"/>
          <w:lang w:val="zh-TW"/>
          <w14:textFill>
            <w14:solidFill>
              <w14:schemeClr w14:val="tx1"/>
            </w14:solidFill>
          </w14:textFill>
        </w:rPr>
        <w:t>截至</w:t>
      </w:r>
      <w:r>
        <w:rPr>
          <w:rFonts w:ascii="Times New Roman" w:hAnsi="Times New Roman" w:eastAsia="仿宋_GB2312"/>
          <w:color w:val="000000" w:themeColor="text1"/>
          <w:kern w:val="0"/>
          <w:sz w:val="32"/>
          <w:szCs w:val="32"/>
          <w:lang w:val="zh-TW"/>
          <w14:textFill>
            <w14:solidFill>
              <w14:schemeClr w14:val="tx1"/>
            </w14:solidFill>
          </w14:textFill>
        </w:rPr>
        <w:t>2024</w:t>
      </w:r>
      <w:r>
        <w:rPr>
          <w:rFonts w:hint="eastAsia" w:ascii="Times New Roman" w:hAnsi="Times New Roman" w:eastAsia="仿宋_GB2312"/>
          <w:color w:val="000000" w:themeColor="text1"/>
          <w:kern w:val="0"/>
          <w:sz w:val="32"/>
          <w:szCs w:val="32"/>
          <w:lang w:val="zh-TW"/>
          <w14:textFill>
            <w14:solidFill>
              <w14:schemeClr w14:val="tx1"/>
            </w14:solidFill>
          </w14:textFill>
        </w:rPr>
        <w:t>年末，全市</w:t>
      </w:r>
      <w:r>
        <w:rPr>
          <w:rFonts w:ascii="Times New Roman" w:hAnsi="Times New Roman" w:eastAsia="仿宋_GB2312"/>
          <w:color w:val="000000" w:themeColor="text1"/>
          <w:kern w:val="0"/>
          <w:sz w:val="32"/>
          <w:szCs w:val="32"/>
          <w:lang w:val="zh-TW"/>
          <w14:textFill>
            <w14:solidFill>
              <w14:schemeClr w14:val="tx1"/>
            </w14:solidFill>
          </w14:textFill>
        </w:rPr>
        <w:t>33714</w:t>
      </w:r>
      <w:r>
        <w:rPr>
          <w:rFonts w:hint="eastAsia" w:ascii="Times New Roman" w:hAnsi="Times New Roman" w:eastAsia="仿宋_GB2312"/>
          <w:color w:val="000000" w:themeColor="text1"/>
          <w:kern w:val="0"/>
          <w:sz w:val="32"/>
          <w:szCs w:val="32"/>
          <w:lang w:val="zh-TW"/>
          <w14:textFill>
            <w14:solidFill>
              <w14:schemeClr w14:val="tx1"/>
            </w14:solidFill>
          </w14:textFill>
        </w:rPr>
        <w:t>名记录在职</w:t>
      </w:r>
      <w:r>
        <w:rPr>
          <w:rFonts w:ascii="Times New Roman" w:hAnsi="Times New Roman" w:eastAsia="仿宋_GB2312"/>
          <w:color w:val="000000" w:themeColor="text1"/>
          <w:kern w:val="0"/>
          <w:sz w:val="32"/>
          <w:szCs w:val="32"/>
          <w:lang w:val="zh-TW"/>
          <w14:textFill>
            <w14:solidFill>
              <w14:schemeClr w14:val="tx1"/>
            </w14:solidFill>
          </w14:textFill>
        </w:rPr>
        <w:t>的房地产中介</w:t>
      </w:r>
      <w:r>
        <w:rPr>
          <w:rFonts w:hint="eastAsia" w:ascii="Times New Roman" w:hAnsi="Times New Roman" w:eastAsia="仿宋_GB2312"/>
          <w:color w:val="000000" w:themeColor="text1"/>
          <w:kern w:val="0"/>
          <w:sz w:val="32"/>
          <w:szCs w:val="32"/>
          <w:lang w:val="zh-TW"/>
          <w14:textFill>
            <w14:solidFill>
              <w14:schemeClr w14:val="tx1"/>
            </w14:solidFill>
          </w14:textFill>
        </w:rPr>
        <w:t>从业人员（以下简称“从业人员”）</w:t>
      </w:r>
      <w:r>
        <w:rPr>
          <w:rFonts w:ascii="Times New Roman" w:hAnsi="Times New Roman" w:eastAsia="仿宋_GB2312"/>
          <w:color w:val="000000" w:themeColor="text1"/>
          <w:kern w:val="0"/>
          <w:sz w:val="32"/>
          <w:szCs w:val="32"/>
          <w:lang w:val="zh-TW"/>
          <w14:textFill>
            <w14:solidFill>
              <w14:schemeClr w14:val="tx1"/>
            </w14:solidFill>
          </w14:textFill>
        </w:rPr>
        <w:t>中</w:t>
      </w:r>
      <w:r>
        <w:rPr>
          <w:rFonts w:hint="eastAsia" w:ascii="Times New Roman" w:hAnsi="Times New Roman" w:eastAsia="仿宋_GB2312"/>
          <w:color w:val="000000" w:themeColor="text1"/>
          <w:kern w:val="0"/>
          <w:sz w:val="32"/>
          <w:szCs w:val="32"/>
          <w:lang w:val="zh-TW"/>
          <w14:textFill>
            <w14:solidFill>
              <w14:schemeClr w14:val="tx1"/>
            </w14:solidFill>
          </w14:textFill>
        </w:rPr>
        <w:t>，信用等级为“优质”的</w:t>
      </w:r>
      <w:r>
        <w:rPr>
          <w:rFonts w:hint="eastAsia" w:ascii="Times New Roman" w:hAnsi="Times New Roman" w:eastAsia="仿宋_GB2312"/>
          <w:color w:val="000000" w:themeColor="text1"/>
          <w:kern w:val="0"/>
          <w:sz w:val="32"/>
          <w:szCs w:val="32"/>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2365</w:t>
      </w:r>
      <w:r>
        <w:rPr>
          <w:rFonts w:hint="eastAsia" w:ascii="Times New Roman" w:hAnsi="Times New Roman" w:eastAsia="仿宋_GB2312"/>
          <w:color w:val="000000" w:themeColor="text1"/>
          <w:kern w:val="0"/>
          <w:sz w:val="32"/>
          <w:szCs w:val="32"/>
          <w:lang w:val="zh-TW"/>
          <w14:textFill>
            <w14:solidFill>
              <w14:schemeClr w14:val="tx1"/>
            </w14:solidFill>
          </w14:textFill>
        </w:rPr>
        <w:t>人，</w:t>
      </w:r>
      <w:r>
        <w:rPr>
          <w:rFonts w:ascii="Times New Roman" w:hAnsi="Times New Roman" w:eastAsia="仿宋_GB2312"/>
          <w:color w:val="000000" w:themeColor="text1"/>
          <w:kern w:val="0"/>
          <w:sz w:val="32"/>
          <w:szCs w:val="32"/>
          <w:lang w:val="zh-TW"/>
          <w14:textFill>
            <w14:solidFill>
              <w14:schemeClr w14:val="tx1"/>
            </w14:solidFill>
          </w14:textFill>
        </w:rPr>
        <w:t>同比增加822人，</w:t>
      </w:r>
      <w:r>
        <w:rPr>
          <w:rFonts w:hint="eastAsia" w:ascii="Times New Roman" w:hAnsi="Times New Roman" w:eastAsia="仿宋_GB2312"/>
          <w:color w:val="000000" w:themeColor="text1"/>
          <w:kern w:val="0"/>
          <w:sz w:val="32"/>
          <w:szCs w:val="32"/>
          <w:lang w:val="zh-TW"/>
          <w14:textFill>
            <w14:solidFill>
              <w14:schemeClr w14:val="tx1"/>
            </w14:solidFill>
          </w14:textFill>
        </w:rPr>
        <w:t>“良好”的有</w:t>
      </w:r>
      <w:r>
        <w:rPr>
          <w:rFonts w:ascii="Times New Roman" w:hAnsi="Times New Roman" w:eastAsia="仿宋_GB2312"/>
          <w:color w:val="000000" w:themeColor="text1"/>
          <w:kern w:val="0"/>
          <w:sz w:val="32"/>
          <w:szCs w:val="32"/>
          <w:lang w:val="zh-TW"/>
          <w14:textFill>
            <w14:solidFill>
              <w14:schemeClr w14:val="tx1"/>
            </w14:solidFill>
          </w14:textFill>
        </w:rPr>
        <w:t>2555</w:t>
      </w:r>
      <w:r>
        <w:rPr>
          <w:rFonts w:hint="eastAsia" w:ascii="Times New Roman" w:hAnsi="Times New Roman" w:eastAsia="仿宋_GB2312"/>
          <w:color w:val="000000" w:themeColor="text1"/>
          <w:kern w:val="0"/>
          <w:sz w:val="32"/>
          <w:szCs w:val="32"/>
          <w:lang w:val="zh-TW"/>
          <w14:textFill>
            <w14:solidFill>
              <w14:schemeClr w14:val="tx1"/>
            </w14:solidFill>
          </w14:textFill>
        </w:rPr>
        <w:t>人，</w:t>
      </w:r>
      <w:r>
        <w:rPr>
          <w:rFonts w:ascii="Times New Roman" w:hAnsi="Times New Roman" w:eastAsia="仿宋_GB2312"/>
          <w:color w:val="000000" w:themeColor="text1"/>
          <w:kern w:val="0"/>
          <w:sz w:val="32"/>
          <w:szCs w:val="32"/>
          <w:lang w:val="zh-TW"/>
          <w14:textFill>
            <w14:solidFill>
              <w14:schemeClr w14:val="tx1"/>
            </w14:solidFill>
          </w14:textFill>
        </w:rPr>
        <w:t>同比增加1297人，</w:t>
      </w:r>
      <w:r>
        <w:rPr>
          <w:rFonts w:hint="eastAsia" w:ascii="Times New Roman" w:hAnsi="Times New Roman" w:eastAsia="仿宋_GB2312"/>
          <w:color w:val="000000" w:themeColor="text1"/>
          <w:kern w:val="0"/>
          <w:sz w:val="32"/>
          <w:szCs w:val="32"/>
          <w:lang w:val="zh-TW"/>
          <w14:textFill>
            <w14:solidFill>
              <w14:schemeClr w14:val="tx1"/>
            </w14:solidFill>
          </w14:textFill>
        </w:rPr>
        <w:t>“诚信”和“暂定诚信”的从业人员占</w:t>
      </w:r>
      <w:r>
        <w:rPr>
          <w:rFonts w:ascii="Times New Roman" w:hAnsi="Times New Roman" w:eastAsia="仿宋_GB2312"/>
          <w:color w:val="000000" w:themeColor="text1"/>
          <w:kern w:val="0"/>
          <w:sz w:val="32"/>
          <w:szCs w:val="32"/>
          <w:lang w:val="zh-TW"/>
          <w14:textFill>
            <w14:solidFill>
              <w14:schemeClr w14:val="tx1"/>
            </w14:solidFill>
          </w14:textFill>
        </w:rPr>
        <w:t>85.4%</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kern w:val="0"/>
          <w:sz w:val="32"/>
          <w:szCs w:val="32"/>
          <w:lang w:val="zh-TW"/>
        </w:rPr>
        <w:t>无信用等级为“</w:t>
      </w:r>
      <w:r>
        <w:rPr>
          <w:rFonts w:hint="eastAsia" w:ascii="Times New Roman" w:hAnsi="Times New Roman" w:eastAsia="仿宋_GB2312"/>
          <w:kern w:val="0"/>
          <w:sz w:val="32"/>
          <w:szCs w:val="32"/>
        </w:rPr>
        <w:t>预警</w:t>
      </w:r>
      <w:r>
        <w:rPr>
          <w:rFonts w:hint="eastAsia" w:ascii="Times New Roman" w:hAnsi="Times New Roman" w:eastAsia="仿宋_GB2312"/>
          <w:kern w:val="0"/>
          <w:sz w:val="32"/>
          <w:szCs w:val="32"/>
          <w:lang w:val="zh-TW"/>
        </w:rPr>
        <w:t>”</w:t>
      </w:r>
      <w:r>
        <w:rPr>
          <w:rFonts w:hint="eastAsia" w:ascii="Times New Roman" w:hAnsi="Times New Roman" w:eastAsia="仿宋_GB2312"/>
          <w:kern w:val="0"/>
          <w:sz w:val="32"/>
          <w:szCs w:val="32"/>
        </w:rPr>
        <w:t>或</w:t>
      </w:r>
      <w:r>
        <w:rPr>
          <w:rFonts w:hint="eastAsia" w:ascii="Times New Roman" w:hAnsi="Times New Roman" w:eastAsia="仿宋_GB2312"/>
          <w:kern w:val="0"/>
          <w:sz w:val="32"/>
          <w:szCs w:val="32"/>
          <w:lang w:val="zh-TW"/>
        </w:rPr>
        <w:t>“失信”的</w:t>
      </w:r>
      <w:r>
        <w:rPr>
          <w:rFonts w:hint="eastAsia" w:ascii="Times New Roman" w:hAnsi="Times New Roman" w:eastAsia="仿宋_GB2312"/>
          <w:kern w:val="0"/>
          <w:sz w:val="32"/>
          <w:szCs w:val="32"/>
        </w:rPr>
        <w:t>从业人员</w:t>
      </w:r>
      <w:r>
        <w:rPr>
          <w:rFonts w:hint="eastAsia" w:ascii="Times New Roman" w:hAnsi="Times New Roman" w:eastAsia="仿宋_GB2312"/>
          <w:color w:val="000000" w:themeColor="text1"/>
          <w:kern w:val="0"/>
          <w:sz w:val="32"/>
          <w:szCs w:val="32"/>
          <w:lang w:val="zh-TW"/>
          <w14:textFill>
            <w14:solidFill>
              <w14:schemeClr w14:val="tx1"/>
            </w14:solidFill>
          </w14:textFill>
        </w:rPr>
        <w:t>。</w:t>
      </w:r>
    </w:p>
    <w:p w14:paraId="223E136C">
      <w:pPr>
        <w:pStyle w:val="2"/>
        <w:spacing w:before="120" w:beforeLines="50" w:after="120" w:afterLines="50" w:line="360" w:lineRule="auto"/>
        <w:ind w:firstLine="643" w:firstLineChars="200"/>
        <w:rPr>
          <w:rFonts w:ascii="Times New Roman" w:hAnsi="Times New Roman" w:eastAsia="黑体"/>
          <w:bCs w:val="0"/>
          <w:color w:val="000000" w:themeColor="text1"/>
          <w:sz w:val="24"/>
          <w:szCs w:val="24"/>
          <w14:textFill>
            <w14:solidFill>
              <w14:schemeClr w14:val="tx1"/>
            </w14:solidFill>
          </w14:textFill>
        </w:rPr>
      </w:pPr>
      <w:bookmarkStart w:id="1" w:name="_Toc192845439"/>
      <w:r>
        <w:rPr>
          <w:rFonts w:ascii="Times New Roman" w:hAnsi="Times New Roman" w:eastAsia="黑体"/>
          <w:bCs w:val="0"/>
          <w:color w:val="000000" w:themeColor="text1"/>
          <w:sz w:val="32"/>
          <w:szCs w:val="24"/>
          <w14:textFill>
            <w14:solidFill>
              <w14:schemeClr w14:val="tx1"/>
            </w14:solidFill>
          </w14:textFill>
        </w:rPr>
        <w:t>一、引言</w:t>
      </w:r>
      <w:bookmarkEnd w:id="0"/>
      <w:bookmarkEnd w:id="1"/>
    </w:p>
    <w:p w14:paraId="0E5C44DC">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为促进广州市房地产中介行业</w:t>
      </w:r>
      <w:r>
        <w:rPr>
          <w:rFonts w:ascii="Times New Roman" w:hAnsi="Times New Roman" w:eastAsia="仿宋_GB2312"/>
          <w:color w:val="000000" w:themeColor="text1"/>
          <w:kern w:val="0"/>
          <w:sz w:val="32"/>
          <w:szCs w:val="32"/>
          <w14:textFill>
            <w14:solidFill>
              <w14:schemeClr w14:val="tx1"/>
            </w14:solidFill>
          </w14:textFill>
        </w:rPr>
        <w:t>高质量</w:t>
      </w:r>
      <w:r>
        <w:rPr>
          <w:rFonts w:ascii="Times New Roman" w:hAnsi="Times New Roman" w:eastAsia="仿宋_GB2312"/>
          <w:color w:val="000000" w:themeColor="text1"/>
          <w:kern w:val="0"/>
          <w:sz w:val="32"/>
          <w:szCs w:val="32"/>
          <w:lang w:val="zh-TW"/>
          <w14:textFill>
            <w14:solidFill>
              <w14:schemeClr w14:val="tx1"/>
            </w14:solidFill>
          </w14:textFill>
        </w:rPr>
        <w:t>发展，加强中介机构与从业人员的信用管理，保障交易当事人合法权益，结合我市实际，广州市住房和城乡建设局（以下简称</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市住房城乡</w:t>
      </w:r>
      <w:r>
        <w:rPr>
          <w:rFonts w:hint="eastAsia" w:ascii="Times New Roman" w:hAnsi="Times New Roman" w:eastAsia="仿宋_GB2312"/>
          <w:color w:val="000000" w:themeColor="text1"/>
          <w:kern w:val="0"/>
          <w:sz w:val="32"/>
          <w:szCs w:val="32"/>
          <w:lang w:val="zh-TW"/>
          <w14:textFill>
            <w14:solidFill>
              <w14:schemeClr w14:val="tx1"/>
            </w14:solidFill>
          </w14:textFill>
        </w:rPr>
        <w:t>建设</w:t>
      </w:r>
      <w:r>
        <w:rPr>
          <w:rFonts w:ascii="Times New Roman" w:hAnsi="Times New Roman" w:eastAsia="仿宋_GB2312"/>
          <w:color w:val="000000" w:themeColor="text1"/>
          <w:kern w:val="0"/>
          <w:sz w:val="32"/>
          <w:szCs w:val="32"/>
          <w:lang w:val="zh-TW"/>
          <w14:textFill>
            <w14:solidFill>
              <w14:schemeClr w14:val="tx1"/>
            </w14:solidFill>
          </w14:textFill>
        </w:rPr>
        <w:t>局</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）于2017年7月24日发布《广州市房地产中介信用管理暂行规定》（</w:t>
      </w:r>
      <w:r>
        <w:rPr>
          <w:rFonts w:hint="eastAsia" w:ascii="Times New Roman" w:hAnsi="Times New Roman" w:eastAsia="仿宋_GB2312"/>
          <w:color w:val="000000" w:themeColor="text1"/>
          <w:kern w:val="0"/>
          <w:sz w:val="32"/>
          <w:szCs w:val="32"/>
          <w:lang w:val="zh-TW"/>
          <w14:textFill>
            <w14:solidFill>
              <w14:schemeClr w14:val="tx1"/>
            </w14:solidFill>
          </w14:textFill>
        </w:rPr>
        <w:t>穗建规字</w:t>
      </w:r>
      <w:r>
        <w:rPr>
          <w:rFonts w:hint="eastAsia" w:ascii="方正隶书_GBK" w:hAnsi="方正隶书_GBK" w:eastAsia="方正隶书_GBK" w:cs="方正隶书_GBK"/>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2017</w:t>
      </w:r>
      <w:r>
        <w:rPr>
          <w:rFonts w:hint="eastAsia" w:ascii="仿宋_GB2312" w:hAnsi="仿宋_GB2312" w:eastAsia="仿宋_GB2312" w:cs="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12号，</w:t>
      </w:r>
      <w:r>
        <w:rPr>
          <w:rFonts w:ascii="Times New Roman" w:hAnsi="Times New Roman" w:eastAsia="仿宋_GB2312"/>
          <w:color w:val="000000" w:themeColor="text1"/>
          <w:kern w:val="0"/>
          <w:sz w:val="32"/>
          <w:szCs w:val="32"/>
          <w:lang w:val="zh-TW"/>
          <w14:textFill>
            <w14:solidFill>
              <w14:schemeClr w14:val="tx1"/>
            </w14:solidFill>
          </w14:textFill>
        </w:rPr>
        <w:t>以下简称</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《暂行规定》</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），并于2018年10月23日上线运行广州市房地产中介信用管理系统，</w:t>
      </w:r>
      <w:r>
        <w:rPr>
          <w:rFonts w:ascii="Times New Roman" w:hAnsi="Times New Roman" w:eastAsia="仿宋_GB2312"/>
          <w:color w:val="000000" w:themeColor="text1"/>
          <w:kern w:val="0"/>
          <w:sz w:val="32"/>
          <w:szCs w:val="32"/>
          <w14:textFill>
            <w14:solidFill>
              <w14:schemeClr w14:val="tx1"/>
            </w14:solidFill>
          </w14:textFill>
        </w:rPr>
        <w:t>逐步建立行业信用档案。</w:t>
      </w:r>
    </w:p>
    <w:p w14:paraId="7E8A417A">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lang w:val="zh-TW" w:eastAsia="zh-TW"/>
          <w14:textFill>
            <w14:solidFill>
              <w14:schemeClr w14:val="tx1"/>
            </w14:solidFill>
          </w14:textFill>
        </w:rPr>
        <w:t>信用档案是根据中介机构及其从业人员的基本情况、经营、服务行为，以及相关行政管理部门监管情况、社会监督等信息形成的</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eastAsia="zh-TW"/>
          <w14:textFill>
            <w14:solidFill>
              <w14:schemeClr w14:val="tx1"/>
            </w14:solidFill>
          </w14:textFill>
        </w:rPr>
        <w:t>机构和人员信用档案</w:t>
      </w:r>
      <w:r>
        <w:rPr>
          <w:rFonts w:ascii="Times New Roman" w:hAnsi="Times New Roman" w:eastAsia="仿宋_GB2312"/>
          <w:color w:val="000000" w:themeColor="text1"/>
          <w:kern w:val="0"/>
          <w:sz w:val="32"/>
          <w:szCs w:val="32"/>
          <w:lang w:val="zh-TW"/>
          <w14:textFill>
            <w14:solidFill>
              <w14:schemeClr w14:val="tx1"/>
            </w14:solidFill>
          </w14:textFill>
        </w:rPr>
        <w:t>。</w:t>
      </w:r>
    </w:p>
    <w:p w14:paraId="793F6A62">
      <w:pPr>
        <w:spacing w:line="560" w:lineRule="exact"/>
        <w:ind w:firstLine="640" w:firstLineChars="200"/>
        <w:rPr>
          <w:rFonts w:ascii="Times New Roman" w:hAnsi="Times New Roman" w:eastAsia="仿宋_GB2312"/>
          <w:color w:val="000000" w:themeColor="text1"/>
          <w:kern w:val="0"/>
          <w:sz w:val="32"/>
          <w:szCs w:val="32"/>
          <w:lang w:val="zh-TW" w:eastAsia="zh-TW"/>
          <w14:textFill>
            <w14:solidFill>
              <w14:schemeClr w14:val="tx1"/>
            </w14:solidFill>
          </w14:textFill>
        </w:rPr>
      </w:pPr>
      <w:r>
        <w:rPr>
          <w:rFonts w:ascii="Times New Roman" w:hAnsi="Times New Roman" w:eastAsia="仿宋_GB2312"/>
          <w:color w:val="000000" w:themeColor="text1"/>
          <w:kern w:val="0"/>
          <w:sz w:val="32"/>
          <w:szCs w:val="32"/>
          <w:lang w:val="zh-TW" w:eastAsia="zh-TW"/>
          <w14:textFill>
            <w14:solidFill>
              <w14:schemeClr w14:val="tx1"/>
            </w14:solidFill>
          </w14:textFill>
        </w:rPr>
        <w:t>信用档案分为中介机构信用档案和从业人员信用档案，档案主要包括：基本情况信息、经营信息以及监管信息等三大类信息。</w:t>
      </w:r>
    </w:p>
    <w:p w14:paraId="30F26389">
      <w:pPr>
        <w:spacing w:line="560" w:lineRule="exact"/>
        <w:ind w:firstLine="640" w:firstLineChars="200"/>
        <w:rPr>
          <w:rFonts w:ascii="Times New Roman" w:hAnsi="Times New Roman" w:eastAsia="仿宋_GB2312"/>
          <w:color w:val="000000" w:themeColor="text1"/>
          <w:kern w:val="0"/>
          <w:sz w:val="32"/>
          <w:szCs w:val="32"/>
          <w:lang w:val="zh-TW" w:eastAsia="zh-TW"/>
          <w14:textFill>
            <w14:solidFill>
              <w14:schemeClr w14:val="tx1"/>
            </w14:solidFill>
          </w14:textFill>
        </w:rPr>
      </w:pPr>
      <w:r>
        <w:rPr>
          <w:rFonts w:ascii="Times New Roman" w:hAnsi="Times New Roman" w:eastAsia="仿宋_GB2312"/>
          <w:color w:val="000000" w:themeColor="text1"/>
          <w:kern w:val="0"/>
          <w:sz w:val="32"/>
          <w:szCs w:val="32"/>
          <w:lang w:val="zh-TW" w:eastAsia="zh-TW"/>
          <w14:textFill>
            <w14:solidFill>
              <w14:schemeClr w14:val="tx1"/>
            </w14:solidFill>
          </w14:textFill>
        </w:rPr>
        <w:t>为方便消费者对中介机构和从业人员的信用有更直观的了解，</w:t>
      </w:r>
      <w:r>
        <w:rPr>
          <w:rFonts w:hint="eastAsia" w:ascii="Times New Roman" w:hAnsi="Times New Roman" w:eastAsia="仿宋_GB2312"/>
          <w:color w:val="000000" w:themeColor="text1"/>
          <w:kern w:val="0"/>
          <w:sz w:val="32"/>
          <w:szCs w:val="32"/>
          <w:lang w:val="zh-TW"/>
          <w14:textFill>
            <w14:solidFill>
              <w14:schemeClr w14:val="tx1"/>
            </w14:solidFill>
          </w14:textFill>
        </w:rPr>
        <w:t>广州市房地产中介协会</w:t>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（以下简称“市中介协会”）</w:t>
      </w:r>
      <w:r>
        <w:rPr>
          <w:rFonts w:ascii="Times New Roman" w:hAnsi="Times New Roman" w:eastAsia="仿宋_GB2312"/>
          <w:color w:val="000000" w:themeColor="text1"/>
          <w:kern w:val="0"/>
          <w:sz w:val="32"/>
          <w:szCs w:val="32"/>
          <w:lang w:val="zh-TW"/>
          <w14:textFill>
            <w14:solidFill>
              <w14:schemeClr w14:val="tx1"/>
            </w14:solidFill>
          </w14:textFill>
        </w:rPr>
        <w:t>根据《广州市房地产中介信用评分评级管理办法》（见附件1）</w:t>
      </w:r>
      <w:r>
        <w:rPr>
          <w:rFonts w:ascii="Times New Roman" w:hAnsi="Times New Roman" w:eastAsia="仿宋_GB2312"/>
          <w:color w:val="000000" w:themeColor="text1"/>
          <w:kern w:val="0"/>
          <w:sz w:val="32"/>
          <w:szCs w:val="32"/>
          <w:lang w:val="zh-TW" w:eastAsia="zh-TW"/>
          <w14:textFill>
            <w14:solidFill>
              <w14:schemeClr w14:val="tx1"/>
            </w14:solidFill>
          </w14:textFill>
        </w:rPr>
        <w:t>将信用等级划分为</w:t>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w:t>
      </w:r>
      <w:r>
        <w:rPr>
          <w:rFonts w:ascii="Times New Roman" w:hAnsi="Times New Roman" w:eastAsia="仿宋_GB2312"/>
          <w:color w:val="000000" w:themeColor="text1"/>
          <w:kern w:val="0"/>
          <w:sz w:val="32"/>
          <w:szCs w:val="32"/>
          <w:lang w:val="zh-TW" w:eastAsia="zh-TW"/>
          <w14:textFill>
            <w14:solidFill>
              <w14:schemeClr w14:val="tx1"/>
            </w14:solidFill>
          </w14:textFill>
        </w:rPr>
        <w:t>优质</w:t>
      </w:r>
      <w:r>
        <w:rPr>
          <w:rStyle w:val="25"/>
          <w:rFonts w:ascii="Times New Roman" w:hAnsi="Times New Roman" w:eastAsia="仿宋_GB2312"/>
          <w:color w:val="000000" w:themeColor="text1"/>
          <w:kern w:val="0"/>
          <w:sz w:val="32"/>
          <w:szCs w:val="32"/>
          <w:lang w:val="zh-TW" w:eastAsia="zh-TW"/>
          <w14:textFill>
            <w14:solidFill>
              <w14:schemeClr w14:val="tx1"/>
            </w14:solidFill>
          </w14:textFill>
        </w:rPr>
        <w:footnoteReference w:id="1"/>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w:t>
      </w:r>
      <w:r>
        <w:rPr>
          <w:rFonts w:ascii="Times New Roman" w:hAnsi="Times New Roman" w:eastAsia="仿宋_GB2312"/>
          <w:color w:val="000000" w:themeColor="text1"/>
          <w:kern w:val="0"/>
          <w:sz w:val="32"/>
          <w:szCs w:val="32"/>
          <w:lang w:val="zh-TW" w:eastAsia="zh-TW"/>
          <w14:textFill>
            <w14:solidFill>
              <w14:schemeClr w14:val="tx1"/>
            </w14:solidFill>
          </w14:textFill>
        </w:rPr>
        <w:t>良好</w:t>
      </w:r>
      <w:r>
        <w:rPr>
          <w:rStyle w:val="25"/>
          <w:rFonts w:ascii="Times New Roman" w:hAnsi="Times New Roman" w:eastAsia="仿宋_GB2312"/>
          <w:color w:val="000000" w:themeColor="text1"/>
          <w:kern w:val="0"/>
          <w:sz w:val="32"/>
          <w:szCs w:val="32"/>
          <w:lang w:val="zh-TW" w:eastAsia="zh-TW"/>
          <w14:textFill>
            <w14:solidFill>
              <w14:schemeClr w14:val="tx1"/>
            </w14:solidFill>
          </w14:textFill>
        </w:rPr>
        <w:footnoteReference w:id="2"/>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w:t>
      </w:r>
      <w:r>
        <w:rPr>
          <w:rFonts w:ascii="Times New Roman" w:hAnsi="Times New Roman" w:eastAsia="仿宋_GB2312"/>
          <w:color w:val="000000" w:themeColor="text1"/>
          <w:kern w:val="0"/>
          <w:sz w:val="32"/>
          <w:szCs w:val="32"/>
          <w:lang w:val="zh-TW" w:eastAsia="zh-TW"/>
          <w14:textFill>
            <w14:solidFill>
              <w14:schemeClr w14:val="tx1"/>
            </w14:solidFill>
          </w14:textFill>
        </w:rPr>
        <w:t>诚信</w:t>
      </w:r>
      <w:r>
        <w:rPr>
          <w:rStyle w:val="25"/>
          <w:rFonts w:ascii="Times New Roman" w:hAnsi="Times New Roman" w:eastAsia="仿宋_GB2312"/>
          <w:color w:val="000000" w:themeColor="text1"/>
          <w:kern w:val="0"/>
          <w:sz w:val="32"/>
          <w:szCs w:val="32"/>
          <w:lang w:val="zh-TW" w:eastAsia="zh-TW"/>
          <w14:textFill>
            <w14:solidFill>
              <w14:schemeClr w14:val="tx1"/>
            </w14:solidFill>
          </w14:textFill>
        </w:rPr>
        <w:footnoteReference w:id="3"/>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w:t>
      </w:r>
      <w:r>
        <w:rPr>
          <w:rFonts w:ascii="Times New Roman" w:hAnsi="Times New Roman" w:eastAsia="仿宋_GB2312"/>
          <w:color w:val="000000" w:themeColor="text1"/>
          <w:kern w:val="0"/>
          <w:sz w:val="32"/>
          <w:szCs w:val="32"/>
          <w:lang w:val="zh-TW" w:eastAsia="zh-TW"/>
          <w14:textFill>
            <w14:solidFill>
              <w14:schemeClr w14:val="tx1"/>
            </w14:solidFill>
          </w14:textFill>
        </w:rPr>
        <w:t>暂定诚信</w:t>
      </w:r>
      <w:r>
        <w:rPr>
          <w:rStyle w:val="25"/>
          <w:rFonts w:ascii="Times New Roman" w:hAnsi="Times New Roman" w:eastAsia="仿宋_GB2312"/>
          <w:color w:val="000000" w:themeColor="text1"/>
          <w:kern w:val="0"/>
          <w:sz w:val="32"/>
          <w:szCs w:val="32"/>
          <w:lang w:val="zh-TW" w:eastAsia="zh-TW"/>
          <w14:textFill>
            <w14:solidFill>
              <w14:schemeClr w14:val="tx1"/>
            </w14:solidFill>
          </w14:textFill>
        </w:rPr>
        <w:footnoteReference w:id="4"/>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w:t>
      </w:r>
      <w:r>
        <w:rPr>
          <w:rFonts w:ascii="Times New Roman" w:hAnsi="Times New Roman" w:eastAsia="仿宋_GB2312"/>
          <w:color w:val="000000" w:themeColor="text1"/>
          <w:kern w:val="0"/>
          <w:sz w:val="32"/>
          <w:szCs w:val="32"/>
          <w:lang w:val="zh-TW" w:eastAsia="zh-TW"/>
          <w14:textFill>
            <w14:solidFill>
              <w14:schemeClr w14:val="tx1"/>
            </w14:solidFill>
          </w14:textFill>
        </w:rPr>
        <w:t>预警</w:t>
      </w:r>
      <w:r>
        <w:rPr>
          <w:rStyle w:val="25"/>
          <w:rFonts w:ascii="Times New Roman" w:hAnsi="Times New Roman" w:eastAsia="仿宋_GB2312"/>
          <w:color w:val="000000" w:themeColor="text1"/>
          <w:kern w:val="0"/>
          <w:sz w:val="32"/>
          <w:szCs w:val="32"/>
          <w:lang w:val="zh-TW" w:eastAsia="zh-TW"/>
          <w14:textFill>
            <w14:solidFill>
              <w14:schemeClr w14:val="tx1"/>
            </w14:solidFill>
          </w14:textFill>
        </w:rPr>
        <w:footnoteReference w:id="5"/>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w:t>
      </w:r>
      <w:r>
        <w:rPr>
          <w:rFonts w:ascii="Times New Roman" w:hAnsi="Times New Roman" w:eastAsia="仿宋_GB2312"/>
          <w:color w:val="000000" w:themeColor="text1"/>
          <w:kern w:val="0"/>
          <w:sz w:val="32"/>
          <w:szCs w:val="32"/>
          <w:lang w:val="zh-TW" w:eastAsia="zh-TW"/>
          <w14:textFill>
            <w14:solidFill>
              <w14:schemeClr w14:val="tx1"/>
            </w14:solidFill>
          </w14:textFill>
        </w:rPr>
        <w:t>失信</w:t>
      </w:r>
      <w:r>
        <w:rPr>
          <w:rStyle w:val="25"/>
          <w:rFonts w:ascii="Times New Roman" w:hAnsi="Times New Roman" w:eastAsia="仿宋_GB2312"/>
          <w:color w:val="000000" w:themeColor="text1"/>
          <w:kern w:val="0"/>
          <w:sz w:val="32"/>
          <w:szCs w:val="32"/>
          <w:lang w:val="zh-TW" w:eastAsia="zh-TW"/>
          <w14:textFill>
            <w14:solidFill>
              <w14:schemeClr w14:val="tx1"/>
            </w14:solidFill>
          </w14:textFill>
        </w:rPr>
        <w:footnoteReference w:id="6"/>
      </w:r>
      <w:r>
        <w:rPr>
          <w:rFonts w:hint="eastAsia" w:ascii="仿宋_GB2312" w:hAnsi="Times New Roman" w:eastAsia="仿宋_GB2312"/>
          <w:color w:val="000000" w:themeColor="text1"/>
          <w:kern w:val="0"/>
          <w:sz w:val="32"/>
          <w:szCs w:val="32"/>
          <w:lang w:val="zh-TW" w:eastAsia="zh-TW"/>
          <w14:textFill>
            <w14:solidFill>
              <w14:schemeClr w14:val="tx1"/>
            </w14:solidFill>
          </w14:textFill>
        </w:rPr>
        <w:t>”</w:t>
      </w:r>
      <w:r>
        <w:rPr>
          <w:rFonts w:ascii="Times New Roman" w:hAnsi="Times New Roman" w:eastAsia="仿宋_GB2312"/>
          <w:color w:val="000000" w:themeColor="text1"/>
          <w:kern w:val="0"/>
          <w:sz w:val="32"/>
          <w:szCs w:val="32"/>
          <w:lang w:val="zh-TW" w:eastAsia="zh-TW"/>
          <w14:textFill>
            <w14:solidFill>
              <w14:schemeClr w14:val="tx1"/>
            </w14:solidFill>
          </w14:textFill>
        </w:rPr>
        <w:t>等六个级别</w:t>
      </w:r>
      <w:r>
        <w:rPr>
          <w:rFonts w:ascii="Times New Roman" w:hAnsi="Times New Roman" w:eastAsia="仿宋_GB2312"/>
          <w:color w:val="000000" w:themeColor="text1"/>
          <w:kern w:val="0"/>
          <w:sz w:val="32"/>
          <w:szCs w:val="32"/>
          <w:lang w:val="zh-TW"/>
          <w14:textFill>
            <w14:solidFill>
              <w14:schemeClr w14:val="tx1"/>
            </w14:solidFill>
          </w14:textFill>
        </w:rPr>
        <w:t>（信用档案及评分评级体系简介见附件2）</w:t>
      </w:r>
      <w:r>
        <w:rPr>
          <w:rFonts w:ascii="Times New Roman" w:hAnsi="Times New Roman" w:eastAsia="仿宋_GB2312"/>
          <w:color w:val="000000" w:themeColor="text1"/>
          <w:kern w:val="0"/>
          <w:sz w:val="32"/>
          <w:szCs w:val="32"/>
          <w:lang w:val="zh-TW" w:eastAsia="zh-TW"/>
          <w14:textFill>
            <w14:solidFill>
              <w14:schemeClr w14:val="tx1"/>
            </w14:solidFill>
          </w14:textFill>
        </w:rPr>
        <w:t>。</w:t>
      </w:r>
    </w:p>
    <w:p w14:paraId="11E3619C">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广州市房屋交易监管中心（以下简称</w:t>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市交监中心</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）与市中介协会以广州市房地产中介信用管理系统建立的中介机构与从业人员信用档案数据为基础，结合</w:t>
      </w:r>
      <w:r>
        <w:rPr>
          <w:rFonts w:hint="eastAsia" w:ascii="Times New Roman" w:hAnsi="Times New Roman" w:eastAsia="仿宋_GB2312"/>
          <w:color w:val="000000" w:themeColor="text1"/>
          <w:kern w:val="0"/>
          <w:sz w:val="32"/>
          <w:szCs w:val="32"/>
          <w14:textFill>
            <w14:solidFill>
              <w14:schemeClr w14:val="tx1"/>
            </w14:solidFill>
          </w14:textFill>
        </w:rPr>
        <w:t>政府管理部门</w:t>
      </w:r>
      <w:r>
        <w:rPr>
          <w:rFonts w:ascii="Times New Roman" w:hAnsi="Times New Roman" w:eastAsia="仿宋_GB2312"/>
          <w:color w:val="000000" w:themeColor="text1"/>
          <w:kern w:val="0"/>
          <w:sz w:val="32"/>
          <w:szCs w:val="32"/>
          <w:lang w:val="zh-TW"/>
          <w14:textFill>
            <w14:solidFill>
              <w14:schemeClr w14:val="tx1"/>
            </w14:solidFill>
          </w14:textFill>
        </w:rPr>
        <w:t>在日常行业管理以及市中介协会在开展行业自律工作中归集的资料，2019年5月首次编写了2018年度《广州市房地产中介信用白皮书》</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并公开发布，</w:t>
      </w:r>
      <w:r>
        <w:rPr>
          <w:rFonts w:hint="eastAsia" w:ascii="Times New Roman" w:hAnsi="Times New Roman" w:eastAsia="仿宋_GB2312"/>
          <w:color w:val="000000" w:themeColor="text1"/>
          <w:kern w:val="0"/>
          <w:sz w:val="32"/>
          <w:szCs w:val="32"/>
          <w:lang w:val="zh-TW"/>
          <w14:textFill>
            <w14:solidFill>
              <w14:schemeClr w14:val="tx1"/>
            </w14:solidFill>
          </w14:textFill>
        </w:rPr>
        <w:t>此</w:t>
      </w:r>
      <w:r>
        <w:rPr>
          <w:rFonts w:ascii="Times New Roman" w:hAnsi="Times New Roman" w:eastAsia="仿宋_GB2312"/>
          <w:color w:val="000000" w:themeColor="text1"/>
          <w:kern w:val="0"/>
          <w:sz w:val="32"/>
          <w:szCs w:val="32"/>
          <w:lang w:val="zh-TW"/>
          <w14:textFill>
            <w14:solidFill>
              <w14:schemeClr w14:val="tx1"/>
            </w14:solidFill>
          </w14:textFill>
        </w:rPr>
        <w:t>后持续开展该项工作。</w:t>
      </w:r>
    </w:p>
    <w:p w14:paraId="1C84AC68">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本报告为2024年度《广州市房地产中介信用白皮书》，是市交监中心与市中介协会连续第7年联合发布</w:t>
      </w:r>
      <w:r>
        <w:rPr>
          <w:rFonts w:ascii="Times New Roman" w:hAnsi="Times New Roman" w:eastAsia="仿宋_GB2312"/>
          <w:color w:val="000000" w:themeColor="text1"/>
          <w:kern w:val="0"/>
          <w:sz w:val="32"/>
          <w:szCs w:val="32"/>
          <w14:textFill>
            <w14:solidFill>
              <w14:schemeClr w14:val="tx1"/>
            </w14:solidFill>
          </w14:textFill>
        </w:rPr>
        <w:t>行业</w:t>
      </w:r>
      <w:r>
        <w:rPr>
          <w:rFonts w:ascii="Times New Roman" w:hAnsi="Times New Roman" w:eastAsia="仿宋_GB2312"/>
          <w:color w:val="000000" w:themeColor="text1"/>
          <w:kern w:val="0"/>
          <w:sz w:val="32"/>
          <w:szCs w:val="32"/>
          <w:lang w:val="zh-TW"/>
          <w14:textFill>
            <w14:solidFill>
              <w14:schemeClr w14:val="tx1"/>
            </w14:solidFill>
          </w14:textFill>
        </w:rPr>
        <w:t>信用白皮书。</w:t>
      </w:r>
    </w:p>
    <w:p w14:paraId="303CF797">
      <w:pPr>
        <w:widowControl/>
        <w:jc w:val="left"/>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14:textFill>
            <w14:solidFill>
              <w14:schemeClr w14:val="tx1"/>
            </w14:solidFill>
          </w14:textFill>
        </w:rPr>
        <w:br w:type="page"/>
      </w:r>
    </w:p>
    <w:p w14:paraId="4D20BDDD">
      <w:pPr>
        <w:pStyle w:val="2"/>
        <w:keepNext w:val="0"/>
        <w:pageBreakBefore/>
        <w:spacing w:before="120" w:beforeLines="50" w:after="120" w:afterLines="50" w:line="360" w:lineRule="auto"/>
        <w:ind w:firstLine="643" w:firstLineChars="200"/>
        <w:rPr>
          <w:rFonts w:ascii="Times New Roman" w:hAnsi="Times New Roman" w:eastAsia="黑体"/>
          <w:bCs w:val="0"/>
          <w:color w:val="000000" w:themeColor="text1"/>
          <w:sz w:val="32"/>
          <w:szCs w:val="24"/>
          <w14:textFill>
            <w14:solidFill>
              <w14:schemeClr w14:val="tx1"/>
            </w14:solidFill>
          </w14:textFill>
        </w:rPr>
      </w:pPr>
      <w:bookmarkStart w:id="2" w:name="_Toc192845440"/>
      <w:r>
        <w:rPr>
          <w:rFonts w:ascii="Times New Roman" w:hAnsi="Times New Roman" w:eastAsia="黑体"/>
          <w:bCs w:val="0"/>
          <w:color w:val="000000" w:themeColor="text1"/>
          <w:sz w:val="32"/>
          <w:szCs w:val="24"/>
          <w14:textFill>
            <w14:solidFill>
              <w14:schemeClr w14:val="tx1"/>
            </w14:solidFill>
          </w14:textFill>
        </w:rPr>
        <w:t>二、2024年房地产中介行业发展概况</w:t>
      </w:r>
      <w:bookmarkEnd w:id="2"/>
    </w:p>
    <w:p w14:paraId="281B8DDC">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截至2024年末，广州市共有备案中介机构3459家，</w:t>
      </w:r>
      <w:r>
        <w:rPr>
          <w:rFonts w:ascii="Times New Roman" w:hAnsi="Times New Roman" w:eastAsia="仿宋_GB2312"/>
          <w:color w:val="000000" w:themeColor="text1"/>
          <w:kern w:val="0"/>
          <w:sz w:val="32"/>
          <w:szCs w:val="32"/>
          <w14:textFill>
            <w14:solidFill>
              <w14:schemeClr w14:val="tx1"/>
            </w14:solidFill>
          </w14:textFill>
        </w:rPr>
        <w:t>同比202</w:t>
      </w:r>
      <w:r>
        <w:rPr>
          <w:rFonts w:hint="eastAsia" w:ascii="Times New Roman" w:hAnsi="Times New Roman" w:eastAsia="仿宋_GB2312"/>
          <w:color w:val="000000" w:themeColor="text1"/>
          <w:kern w:val="0"/>
          <w:sz w:val="32"/>
          <w:szCs w:val="32"/>
          <w14:textFill>
            <w14:solidFill>
              <w14:schemeClr w14:val="tx1"/>
            </w14:solidFill>
          </w14:textFill>
        </w:rPr>
        <w:t>3</w:t>
      </w:r>
      <w:r>
        <w:rPr>
          <w:rFonts w:ascii="Times New Roman" w:hAnsi="Times New Roman" w:eastAsia="仿宋_GB2312"/>
          <w:color w:val="000000" w:themeColor="text1"/>
          <w:kern w:val="0"/>
          <w:sz w:val="32"/>
          <w:szCs w:val="32"/>
          <w14:textFill>
            <w14:solidFill>
              <w14:schemeClr w14:val="tx1"/>
            </w14:solidFill>
          </w14:textFill>
        </w:rPr>
        <w:t>年</w:t>
      </w:r>
      <w:r>
        <w:rPr>
          <w:rFonts w:hint="eastAsia" w:ascii="Times New Roman" w:hAnsi="Times New Roman" w:eastAsia="仿宋_GB2312"/>
          <w:color w:val="000000" w:themeColor="text1"/>
          <w:kern w:val="0"/>
          <w:sz w:val="32"/>
          <w:szCs w:val="32"/>
          <w14:textFill>
            <w14:solidFill>
              <w14:schemeClr w14:val="tx1"/>
            </w14:solidFill>
          </w14:textFill>
        </w:rPr>
        <w:t>末</w:t>
      </w:r>
      <w:r>
        <w:rPr>
          <w:rFonts w:ascii="Times New Roman" w:hAnsi="Times New Roman" w:eastAsia="仿宋_GB2312"/>
          <w:color w:val="000000" w:themeColor="text1"/>
          <w:kern w:val="0"/>
          <w:sz w:val="32"/>
          <w:szCs w:val="32"/>
          <w14:textFill>
            <w14:solidFill>
              <w14:schemeClr w14:val="tx1"/>
            </w14:solidFill>
          </w14:textFill>
        </w:rPr>
        <w:t>增加157家</w:t>
      </w:r>
      <w:r>
        <w:rPr>
          <w:rFonts w:ascii="Times New Roman" w:hAnsi="Times New Roman" w:eastAsia="仿宋_GB2312"/>
          <w:color w:val="000000" w:themeColor="text1"/>
          <w:kern w:val="0"/>
          <w:sz w:val="32"/>
          <w:szCs w:val="32"/>
          <w:lang w:val="zh-TW"/>
          <w14:textFill>
            <w14:solidFill>
              <w14:schemeClr w14:val="tx1"/>
            </w14:solidFill>
          </w14:textFill>
        </w:rPr>
        <w:t>（见图1）。</w:t>
      </w:r>
    </w:p>
    <w:p w14:paraId="24998B30">
      <w:pPr>
        <w:spacing w:line="360" w:lineRule="auto"/>
        <w:jc w:val="center"/>
        <w:rPr>
          <w:rFonts w:ascii="Times New Roman" w:hAnsi="Times New Roman"/>
          <w:sz w:val="24"/>
        </w:rPr>
      </w:pPr>
      <w:r>
        <w:rPr>
          <w:rFonts w:ascii="Times New Roman" w:hAnsi="Times New Roman"/>
          <w:sz w:val="24"/>
        </w:rPr>
        <w:drawing>
          <wp:inline distT="0" distB="0" distL="0" distR="0">
            <wp:extent cx="5735955" cy="246888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41678" cy="2471333"/>
                    </a:xfrm>
                    <a:prstGeom prst="rect">
                      <a:avLst/>
                    </a:prstGeom>
                    <a:noFill/>
                  </pic:spPr>
                </pic:pic>
              </a:graphicData>
            </a:graphic>
          </wp:inline>
        </w:drawing>
      </w:r>
    </w:p>
    <w:p w14:paraId="41D7D522">
      <w:pPr>
        <w:jc w:val="center"/>
        <w:rPr>
          <w:rFonts w:ascii="Times New Roman" w:hAnsi="Times New Roman"/>
          <w:sz w:val="24"/>
        </w:rPr>
      </w:pPr>
      <w:r>
        <w:rPr>
          <w:rFonts w:ascii="Times New Roman" w:hAnsi="Times New Roman"/>
          <w:sz w:val="24"/>
        </w:rPr>
        <w:t>图1  2011年-2024年广州市备案中介机构数量</w:t>
      </w:r>
    </w:p>
    <w:p w14:paraId="6CB084FA">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35E78C2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截至2024年末，全市备案门店（包括备案中介机构和分支机构）数为4444间，规模与2016年（4446间）相当。2023年之前，全市备案门店数量走势基本与备案中介机构数量一致，但近两年出现</w:t>
      </w:r>
      <w:r>
        <w:rPr>
          <w:rFonts w:hint="eastAsia" w:ascii="Times New Roman" w:hAnsi="Times New Roman" w:eastAsia="仿宋_GB2312"/>
          <w:color w:val="000000" w:themeColor="text1"/>
          <w:kern w:val="0"/>
          <w:sz w:val="32"/>
          <w:szCs w:val="32"/>
          <w:lang w:val="zh-TW"/>
          <w14:textFill>
            <w14:solidFill>
              <w14:schemeClr w14:val="tx1"/>
            </w14:solidFill>
          </w14:textFill>
        </w:rPr>
        <w:t>明显分化，即备案中介机构数量小幅增加，备案门店数量则连续下探，其中</w:t>
      </w:r>
      <w:r>
        <w:rPr>
          <w:rFonts w:ascii="Times New Roman" w:hAnsi="Times New Roman" w:eastAsia="仿宋_GB2312"/>
          <w:color w:val="000000" w:themeColor="text1"/>
          <w:kern w:val="0"/>
          <w:sz w:val="32"/>
          <w:szCs w:val="32"/>
          <w:lang w:val="zh-TW"/>
          <w14:textFill>
            <w14:solidFill>
              <w14:schemeClr w14:val="tx1"/>
            </w14:solidFill>
          </w14:textFill>
        </w:rPr>
        <w:t>2023</w:t>
      </w:r>
      <w:r>
        <w:rPr>
          <w:rFonts w:hint="eastAsia" w:ascii="Times New Roman" w:hAnsi="Times New Roman" w:eastAsia="仿宋_GB2312"/>
          <w:color w:val="000000" w:themeColor="text1"/>
          <w:kern w:val="0"/>
          <w:sz w:val="32"/>
          <w:szCs w:val="32"/>
          <w:lang w:val="zh-TW"/>
          <w14:textFill>
            <w14:solidFill>
              <w14:schemeClr w14:val="tx1"/>
            </w14:solidFill>
          </w14:textFill>
        </w:rPr>
        <w:t>年减少</w:t>
      </w:r>
      <w:r>
        <w:rPr>
          <w:rFonts w:ascii="Times New Roman" w:hAnsi="Times New Roman" w:eastAsia="仿宋_GB2312"/>
          <w:color w:val="000000" w:themeColor="text1"/>
          <w:kern w:val="0"/>
          <w:sz w:val="32"/>
          <w:szCs w:val="32"/>
          <w:lang w:val="zh-TW"/>
          <w14:textFill>
            <w14:solidFill>
              <w14:schemeClr w14:val="tx1"/>
            </w14:solidFill>
          </w14:textFill>
        </w:rPr>
        <w:t>355</w:t>
      </w:r>
      <w:bookmarkStart w:id="3" w:name="OLE_LINK17"/>
      <w:bookmarkStart w:id="4" w:name="OLE_LINK18"/>
      <w:r>
        <w:rPr>
          <w:rFonts w:hint="eastAsia" w:ascii="Times New Roman" w:hAnsi="Times New Roman" w:eastAsia="仿宋_GB2312"/>
          <w:color w:val="000000" w:themeColor="text1"/>
          <w:kern w:val="0"/>
          <w:sz w:val="32"/>
          <w:szCs w:val="32"/>
          <w:lang w:val="zh-TW"/>
          <w14:textFill>
            <w14:solidFill>
              <w14:schemeClr w14:val="tx1"/>
            </w14:solidFill>
          </w14:textFill>
        </w:rPr>
        <w:t>间</w:t>
      </w:r>
      <w:bookmarkEnd w:id="3"/>
      <w:bookmarkEnd w:id="4"/>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2024</w:t>
      </w:r>
      <w:r>
        <w:rPr>
          <w:rFonts w:hint="eastAsia" w:ascii="Times New Roman" w:hAnsi="Times New Roman" w:eastAsia="仿宋_GB2312"/>
          <w:color w:val="000000" w:themeColor="text1"/>
          <w:kern w:val="0"/>
          <w:sz w:val="32"/>
          <w:szCs w:val="32"/>
          <w:lang w:val="zh-TW"/>
          <w14:textFill>
            <w14:solidFill>
              <w14:schemeClr w14:val="tx1"/>
            </w14:solidFill>
          </w14:textFill>
        </w:rPr>
        <w:t>年减少</w:t>
      </w:r>
      <w:r>
        <w:rPr>
          <w:rFonts w:ascii="Times New Roman" w:hAnsi="Times New Roman" w:eastAsia="仿宋_GB2312"/>
          <w:color w:val="000000" w:themeColor="text1"/>
          <w:kern w:val="0"/>
          <w:sz w:val="32"/>
          <w:szCs w:val="32"/>
          <w:lang w:val="zh-TW"/>
          <w14:textFill>
            <w14:solidFill>
              <w14:schemeClr w14:val="tx1"/>
            </w14:solidFill>
          </w14:textFill>
        </w:rPr>
        <w:t>160</w:t>
      </w:r>
      <w:r>
        <w:rPr>
          <w:rFonts w:hint="eastAsia" w:ascii="Times New Roman" w:hAnsi="Times New Roman" w:eastAsia="仿宋_GB2312"/>
          <w:color w:val="000000" w:themeColor="text1"/>
          <w:kern w:val="0"/>
          <w:sz w:val="32"/>
          <w:szCs w:val="32"/>
          <w:lang w:val="zh-TW"/>
          <w14:textFill>
            <w14:solidFill>
              <w14:schemeClr w14:val="tx1"/>
            </w14:solidFill>
          </w14:textFill>
        </w:rPr>
        <w:t>间门店（见图</w:t>
      </w:r>
      <w:r>
        <w:rPr>
          <w:rFonts w:ascii="Times New Roman" w:hAnsi="Times New Roman" w:eastAsia="仿宋_GB2312"/>
          <w:color w:val="000000" w:themeColor="text1"/>
          <w:kern w:val="0"/>
          <w:sz w:val="32"/>
          <w:szCs w:val="32"/>
          <w:lang w:val="zh-TW"/>
          <w14:textFill>
            <w14:solidFill>
              <w14:schemeClr w14:val="tx1"/>
            </w14:solidFill>
          </w14:textFill>
        </w:rPr>
        <w:t>2</w:t>
      </w:r>
      <w:r>
        <w:rPr>
          <w:rFonts w:hint="eastAsia" w:ascii="Times New Roman" w:hAnsi="Times New Roman" w:eastAsia="仿宋_GB2312"/>
          <w:color w:val="000000" w:themeColor="text1"/>
          <w:kern w:val="0"/>
          <w:sz w:val="32"/>
          <w:szCs w:val="32"/>
          <w:lang w:val="zh-TW"/>
          <w14:textFill>
            <w14:solidFill>
              <w14:schemeClr w14:val="tx1"/>
            </w14:solidFill>
          </w14:textFill>
        </w:rPr>
        <w:t>）。从备案中介机构平均拥有门店数量来看，从</w:t>
      </w:r>
      <w:r>
        <w:rPr>
          <w:rFonts w:ascii="Times New Roman" w:hAnsi="Times New Roman" w:eastAsia="仿宋_GB2312"/>
          <w:color w:val="000000" w:themeColor="text1"/>
          <w:kern w:val="0"/>
          <w:sz w:val="32"/>
          <w:szCs w:val="32"/>
          <w:lang w:val="zh-TW"/>
          <w14:textFill>
            <w14:solidFill>
              <w14:schemeClr w14:val="tx1"/>
            </w14:solidFill>
          </w14:textFill>
        </w:rPr>
        <w:t>2017</w:t>
      </w:r>
      <w:r>
        <w:rPr>
          <w:rFonts w:hint="eastAsia" w:ascii="Times New Roman" w:hAnsi="Times New Roman" w:eastAsia="仿宋_GB2312"/>
          <w:color w:val="000000" w:themeColor="text1"/>
          <w:kern w:val="0"/>
          <w:sz w:val="32"/>
          <w:szCs w:val="32"/>
          <w:lang w:val="zh-TW"/>
          <w14:textFill>
            <w14:solidFill>
              <w14:schemeClr w14:val="tx1"/>
            </w14:solidFill>
          </w14:textFill>
        </w:rPr>
        <w:t>年平均每家中介机构拥有</w:t>
      </w:r>
      <w:r>
        <w:rPr>
          <w:rFonts w:ascii="Times New Roman" w:hAnsi="Times New Roman" w:eastAsia="仿宋_GB2312"/>
          <w:color w:val="000000" w:themeColor="text1"/>
          <w:kern w:val="0"/>
          <w:sz w:val="32"/>
          <w:szCs w:val="32"/>
          <w:lang w:val="zh-TW"/>
          <w14:textFill>
            <w14:solidFill>
              <w14:schemeClr w14:val="tx1"/>
            </w14:solidFill>
          </w14:textFill>
        </w:rPr>
        <w:t>2.1</w:t>
      </w:r>
      <w:r>
        <w:rPr>
          <w:rFonts w:hint="eastAsia" w:ascii="Times New Roman" w:hAnsi="Times New Roman" w:eastAsia="仿宋_GB2312"/>
          <w:color w:val="000000" w:themeColor="text1"/>
          <w:kern w:val="0"/>
          <w:sz w:val="32"/>
          <w:szCs w:val="32"/>
          <w14:textFill>
            <w14:solidFill>
              <w14:schemeClr w14:val="tx1"/>
            </w14:solidFill>
          </w14:textFill>
        </w:rPr>
        <w:t>间</w:t>
      </w:r>
      <w:r>
        <w:rPr>
          <w:rFonts w:hint="eastAsia" w:ascii="Times New Roman" w:hAnsi="Times New Roman" w:eastAsia="仿宋_GB2312"/>
          <w:color w:val="000000" w:themeColor="text1"/>
          <w:kern w:val="0"/>
          <w:sz w:val="32"/>
          <w:szCs w:val="32"/>
          <w:lang w:val="zh-TW"/>
          <w14:textFill>
            <w14:solidFill>
              <w14:schemeClr w14:val="tx1"/>
            </w14:solidFill>
          </w14:textFill>
        </w:rPr>
        <w:t>门店，下降至</w:t>
      </w:r>
      <w:r>
        <w:rPr>
          <w:rFonts w:ascii="Times New Roman" w:hAnsi="Times New Roman" w:eastAsia="仿宋_GB2312"/>
          <w:color w:val="000000" w:themeColor="text1"/>
          <w:kern w:val="0"/>
          <w:sz w:val="32"/>
          <w:szCs w:val="32"/>
          <w:lang w:val="zh-TW"/>
          <w14:textFill>
            <w14:solidFill>
              <w14:schemeClr w14:val="tx1"/>
            </w14:solidFill>
          </w14:textFill>
        </w:rPr>
        <w:t>2024</w:t>
      </w:r>
      <w:r>
        <w:rPr>
          <w:rFonts w:hint="eastAsia" w:ascii="Times New Roman" w:hAnsi="Times New Roman" w:eastAsia="仿宋_GB2312"/>
          <w:color w:val="000000" w:themeColor="text1"/>
          <w:kern w:val="0"/>
          <w:sz w:val="32"/>
          <w:szCs w:val="32"/>
          <w:lang w:val="zh-TW"/>
          <w14:textFill>
            <w14:solidFill>
              <w14:schemeClr w14:val="tx1"/>
            </w14:solidFill>
          </w14:textFill>
        </w:rPr>
        <w:t>年的</w:t>
      </w:r>
      <w:r>
        <w:rPr>
          <w:rFonts w:ascii="Times New Roman" w:hAnsi="Times New Roman" w:eastAsia="仿宋_GB2312"/>
          <w:color w:val="000000" w:themeColor="text1"/>
          <w:kern w:val="0"/>
          <w:sz w:val="32"/>
          <w:szCs w:val="32"/>
          <w:lang w:val="zh-TW"/>
          <w14:textFill>
            <w14:solidFill>
              <w14:schemeClr w14:val="tx1"/>
            </w14:solidFill>
          </w14:textFill>
        </w:rPr>
        <w:t>1.3</w:t>
      </w:r>
      <w:r>
        <w:rPr>
          <w:rFonts w:hint="eastAsia" w:ascii="Times New Roman" w:hAnsi="Times New Roman" w:eastAsia="仿宋_GB2312"/>
          <w:color w:val="000000" w:themeColor="text1"/>
          <w:kern w:val="0"/>
          <w:sz w:val="32"/>
          <w:szCs w:val="32"/>
          <w14:textFill>
            <w14:solidFill>
              <w14:schemeClr w14:val="tx1"/>
            </w14:solidFill>
          </w14:textFill>
        </w:rPr>
        <w:t>间</w:t>
      </w:r>
      <w:r>
        <w:rPr>
          <w:rFonts w:hint="eastAsia" w:ascii="Times New Roman" w:hAnsi="Times New Roman" w:eastAsia="仿宋_GB2312"/>
          <w:color w:val="000000" w:themeColor="text1"/>
          <w:kern w:val="0"/>
          <w:sz w:val="32"/>
          <w:szCs w:val="32"/>
          <w:lang w:val="zh-TW"/>
          <w14:textFill>
            <w14:solidFill>
              <w14:schemeClr w14:val="tx1"/>
            </w14:solidFill>
          </w14:textFill>
        </w:rPr>
        <w:t>（见图</w:t>
      </w:r>
      <w:r>
        <w:rPr>
          <w:rFonts w:ascii="Times New Roman" w:hAnsi="Times New Roman" w:eastAsia="仿宋_GB2312"/>
          <w:color w:val="000000" w:themeColor="text1"/>
          <w:kern w:val="0"/>
          <w:sz w:val="32"/>
          <w:szCs w:val="32"/>
          <w:lang w:val="zh-TW"/>
          <w14:textFill>
            <w14:solidFill>
              <w14:schemeClr w14:val="tx1"/>
            </w14:solidFill>
          </w14:textFill>
        </w:rPr>
        <w:t>3</w:t>
      </w:r>
      <w:r>
        <w:rPr>
          <w:rFonts w:hint="eastAsia" w:ascii="Times New Roman" w:hAnsi="Times New Roman" w:eastAsia="仿宋_GB2312"/>
          <w:color w:val="000000" w:themeColor="text1"/>
          <w:kern w:val="0"/>
          <w:sz w:val="32"/>
          <w:szCs w:val="32"/>
          <w:lang w:val="zh-TW"/>
          <w14:textFill>
            <w14:solidFill>
              <w14:schemeClr w14:val="tx1"/>
            </w14:solidFill>
          </w14:textFill>
        </w:rPr>
        <w:t>），仅有</w:t>
      </w:r>
      <w:r>
        <w:rPr>
          <w:rFonts w:ascii="Times New Roman" w:hAnsi="Times New Roman" w:eastAsia="仿宋_GB2312"/>
          <w:color w:val="000000" w:themeColor="text1"/>
          <w:kern w:val="0"/>
          <w:sz w:val="32"/>
          <w:szCs w:val="32"/>
          <w:lang w:val="zh-TW"/>
          <w14:textFill>
            <w14:solidFill>
              <w14:schemeClr w14:val="tx1"/>
            </w14:solidFill>
          </w14:textFill>
        </w:rPr>
        <w:t>1</w:t>
      </w:r>
      <w:r>
        <w:rPr>
          <w:rFonts w:hint="eastAsia" w:ascii="Times New Roman" w:hAnsi="Times New Roman" w:eastAsia="仿宋_GB2312"/>
          <w:color w:val="000000" w:themeColor="text1"/>
          <w:kern w:val="0"/>
          <w:sz w:val="32"/>
          <w:szCs w:val="32"/>
          <w:lang w:val="zh-TW"/>
          <w14:textFill>
            <w14:solidFill>
              <w14:schemeClr w14:val="tx1"/>
            </w14:solidFill>
          </w14:textFill>
        </w:rPr>
        <w:t>间备案门店的中介机构占比则从</w:t>
      </w:r>
      <w:r>
        <w:rPr>
          <w:rFonts w:ascii="Times New Roman" w:hAnsi="Times New Roman" w:eastAsia="仿宋_GB2312"/>
          <w:color w:val="000000" w:themeColor="text1"/>
          <w:kern w:val="0"/>
          <w:sz w:val="32"/>
          <w:szCs w:val="32"/>
          <w:lang w:val="zh-TW"/>
          <w14:textFill>
            <w14:solidFill>
              <w14:schemeClr w14:val="tx1"/>
            </w14:solidFill>
          </w14:textFill>
        </w:rPr>
        <w:t>2021</w:t>
      </w:r>
      <w:r>
        <w:rPr>
          <w:rFonts w:hint="eastAsia" w:ascii="Times New Roman" w:hAnsi="Times New Roman" w:eastAsia="仿宋_GB2312"/>
          <w:color w:val="000000" w:themeColor="text1"/>
          <w:kern w:val="0"/>
          <w:sz w:val="32"/>
          <w:szCs w:val="32"/>
          <w:lang w:val="zh-TW"/>
          <w14:textFill>
            <w14:solidFill>
              <w14:schemeClr w14:val="tx1"/>
            </w14:solidFill>
          </w14:textFill>
        </w:rPr>
        <w:t>年的</w:t>
      </w:r>
      <w:r>
        <w:rPr>
          <w:rFonts w:ascii="Times New Roman" w:hAnsi="Times New Roman" w:eastAsia="仿宋_GB2312"/>
          <w:color w:val="000000" w:themeColor="text1"/>
          <w:kern w:val="0"/>
          <w:sz w:val="32"/>
          <w:szCs w:val="32"/>
          <w:lang w:val="zh-TW"/>
          <w14:textFill>
            <w14:solidFill>
              <w14:schemeClr w14:val="tx1"/>
            </w14:solidFill>
          </w14:textFill>
        </w:rPr>
        <w:t>89.0%</w:t>
      </w:r>
      <w:r>
        <w:rPr>
          <w:rFonts w:hint="eastAsia" w:ascii="Times New Roman" w:hAnsi="Times New Roman" w:eastAsia="仿宋_GB2312"/>
          <w:color w:val="000000" w:themeColor="text1"/>
          <w:kern w:val="0"/>
          <w:sz w:val="32"/>
          <w:szCs w:val="32"/>
          <w:lang w:val="zh-TW"/>
          <w14:textFill>
            <w14:solidFill>
              <w14:schemeClr w14:val="tx1"/>
            </w14:solidFill>
          </w14:textFill>
        </w:rPr>
        <w:t>上升至</w:t>
      </w:r>
      <w:r>
        <w:rPr>
          <w:rFonts w:ascii="Times New Roman" w:hAnsi="Times New Roman" w:eastAsia="仿宋_GB2312"/>
          <w:color w:val="000000" w:themeColor="text1"/>
          <w:kern w:val="0"/>
          <w:sz w:val="32"/>
          <w:szCs w:val="32"/>
          <w:lang w:val="zh-TW"/>
          <w14:textFill>
            <w14:solidFill>
              <w14:schemeClr w14:val="tx1"/>
            </w14:solidFill>
          </w14:textFill>
        </w:rPr>
        <w:t>2024</w:t>
      </w:r>
      <w:r>
        <w:rPr>
          <w:rFonts w:hint="eastAsia" w:ascii="Times New Roman" w:hAnsi="Times New Roman" w:eastAsia="仿宋_GB2312"/>
          <w:color w:val="000000" w:themeColor="text1"/>
          <w:kern w:val="0"/>
          <w:sz w:val="32"/>
          <w:szCs w:val="32"/>
          <w:lang w:val="zh-TW"/>
          <w14:textFill>
            <w14:solidFill>
              <w14:schemeClr w14:val="tx1"/>
            </w14:solidFill>
          </w14:textFill>
        </w:rPr>
        <w:t>年末的</w:t>
      </w:r>
      <w:r>
        <w:rPr>
          <w:rFonts w:ascii="Times New Roman" w:hAnsi="Times New Roman" w:eastAsia="仿宋_GB2312"/>
          <w:color w:val="000000" w:themeColor="text1"/>
          <w:kern w:val="0"/>
          <w:sz w:val="32"/>
          <w:szCs w:val="32"/>
          <w:lang w:val="zh-TW"/>
          <w14:textFill>
            <w14:solidFill>
              <w14:schemeClr w14:val="tx1"/>
            </w14:solidFill>
          </w14:textFill>
        </w:rPr>
        <w:t>94.2%</w:t>
      </w:r>
      <w:r>
        <w:rPr>
          <w:rFonts w:hint="eastAsia" w:ascii="Times New Roman" w:hAnsi="Times New Roman" w:eastAsia="仿宋_GB2312"/>
          <w:color w:val="000000" w:themeColor="text1"/>
          <w:kern w:val="0"/>
          <w:sz w:val="32"/>
          <w:szCs w:val="32"/>
          <w:lang w:val="zh-TW"/>
          <w14:textFill>
            <w14:solidFill>
              <w14:schemeClr w14:val="tx1"/>
            </w14:solidFill>
          </w14:textFill>
        </w:rPr>
        <w:t>，行业中单一门店型的中介机构占比显著提升，</w:t>
      </w:r>
      <w:r>
        <w:rPr>
          <w:rFonts w:hint="eastAsia" w:ascii="仿宋_GB2312" w:hAnsi="Times New Roman" w:eastAsia="仿宋_GB2312"/>
          <w:color w:val="000000" w:themeColor="text1"/>
          <w:kern w:val="0"/>
          <w:sz w:val="32"/>
          <w:szCs w:val="32"/>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小微化</w:t>
      </w:r>
      <w:r>
        <w:rPr>
          <w:rFonts w:hint="eastAsia" w:ascii="仿宋_GB2312" w:hAnsi="Times New Roman" w:eastAsia="仿宋_GB2312"/>
          <w:color w:val="000000" w:themeColor="text1"/>
          <w:kern w:val="0"/>
          <w:sz w:val="32"/>
          <w:szCs w:val="32"/>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特征更加明显。</w:t>
      </w:r>
    </w:p>
    <w:p w14:paraId="4AD7CD7F">
      <w:pPr>
        <w:spacing w:line="360" w:lineRule="auto"/>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drawing>
          <wp:inline distT="0" distB="0" distL="0" distR="0">
            <wp:extent cx="5722620" cy="2225040"/>
            <wp:effectExtent l="0" t="0" r="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35569" cy="2230441"/>
                    </a:xfrm>
                    <a:prstGeom prst="rect">
                      <a:avLst/>
                    </a:prstGeom>
                    <a:noFill/>
                  </pic:spPr>
                </pic:pic>
              </a:graphicData>
            </a:graphic>
          </wp:inline>
        </w:drawing>
      </w:r>
    </w:p>
    <w:p w14:paraId="15B561F6">
      <w:pPr>
        <w:jc w:val="center"/>
        <w:rPr>
          <w:rFonts w:ascii="Times New Roman" w:hAnsi="Times New Roman"/>
          <w:b/>
          <w:bCs/>
          <w:szCs w:val="21"/>
        </w:rPr>
      </w:pPr>
      <w:bookmarkStart w:id="5" w:name="OLE_LINK15"/>
      <w:bookmarkStart w:id="6" w:name="OLE_LINK16"/>
      <w:r>
        <w:rPr>
          <w:rFonts w:ascii="Times New Roman" w:hAnsi="Times New Roman"/>
          <w:sz w:val="24"/>
        </w:rPr>
        <w:t>图2  2011年-2024年广州市备案门店数量</w:t>
      </w:r>
    </w:p>
    <w:p w14:paraId="3622BC35">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649EF062">
      <w:pPr>
        <w:spacing w:line="360" w:lineRule="auto"/>
        <w:jc w:val="right"/>
        <w:rPr>
          <w:rFonts w:ascii="Times New Roman" w:hAnsi="Times New Roman"/>
          <w:color w:val="000000" w:themeColor="text1"/>
          <w:szCs w:val="21"/>
          <w14:textFill>
            <w14:solidFill>
              <w14:schemeClr w14:val="tx1"/>
            </w14:solidFill>
          </w14:textFill>
        </w:rPr>
      </w:pPr>
    </w:p>
    <w:bookmarkEnd w:id="5"/>
    <w:bookmarkEnd w:id="6"/>
    <w:p w14:paraId="371513E4">
      <w:pPr>
        <w:spacing w:line="360" w:lineRule="auto"/>
        <w:jc w:val="left"/>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drawing>
          <wp:inline distT="0" distB="0" distL="0" distR="0">
            <wp:extent cx="5840730" cy="2534920"/>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842964" cy="2536345"/>
                    </a:xfrm>
                    <a:prstGeom prst="rect">
                      <a:avLst/>
                    </a:prstGeom>
                    <a:noFill/>
                  </pic:spPr>
                </pic:pic>
              </a:graphicData>
            </a:graphic>
          </wp:inline>
        </w:drawing>
      </w:r>
    </w:p>
    <w:p w14:paraId="4D9812CD">
      <w:pPr>
        <w:jc w:val="center"/>
        <w:rPr>
          <w:rFonts w:ascii="Times New Roman" w:hAnsi="Times New Roman"/>
          <w:sz w:val="24"/>
        </w:rPr>
      </w:pPr>
      <w:r>
        <w:rPr>
          <w:rFonts w:ascii="Times New Roman" w:hAnsi="Times New Roman"/>
          <w:sz w:val="24"/>
        </w:rPr>
        <w:t>图3  2011年-2024年广州市备案</w:t>
      </w:r>
      <w:r>
        <w:rPr>
          <w:rFonts w:hint="eastAsia" w:ascii="Times New Roman" w:hAnsi="Times New Roman"/>
          <w:sz w:val="24"/>
        </w:rPr>
        <w:t>中介</w:t>
      </w:r>
      <w:r>
        <w:rPr>
          <w:rFonts w:ascii="Times New Roman" w:hAnsi="Times New Roman"/>
          <w:sz w:val="24"/>
        </w:rPr>
        <w:t>机构平均拥有门店数量走势</w:t>
      </w:r>
    </w:p>
    <w:p w14:paraId="0895B89B">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398243AB">
      <w:pPr>
        <w:spacing w:line="360" w:lineRule="auto"/>
        <w:jc w:val="right"/>
        <w:rPr>
          <w:rFonts w:ascii="Times New Roman" w:hAnsi="Times New Roman"/>
          <w:color w:val="000000" w:themeColor="text1"/>
          <w:szCs w:val="21"/>
          <w14:textFill>
            <w14:solidFill>
              <w14:schemeClr w14:val="tx1"/>
            </w14:solidFill>
          </w14:textFill>
        </w:rPr>
      </w:pPr>
    </w:p>
    <w:p w14:paraId="15F4252B">
      <w:pPr>
        <w:spacing w:line="360" w:lineRule="auto"/>
        <w:ind w:firstLine="640" w:firstLineChars="200"/>
        <w:rPr>
          <w:rFonts w:ascii="Times New Roman" w:hAnsi="Times New Roman" w:eastAsia="仿宋_GB2312"/>
          <w:sz w:val="32"/>
          <w:szCs w:val="24"/>
        </w:rPr>
      </w:pPr>
      <w:bookmarkStart w:id="7" w:name="_Toc64963291"/>
      <w:bookmarkStart w:id="8" w:name="_Toc63763015"/>
      <w:r>
        <w:rPr>
          <w:rFonts w:ascii="Times New Roman" w:hAnsi="Times New Roman" w:eastAsia="仿宋_GB2312"/>
          <w:sz w:val="32"/>
          <w:szCs w:val="24"/>
        </w:rPr>
        <w:t>截至2024年末，广州市备案门店数排名前20的中介机构中，大多数</w:t>
      </w:r>
      <w:r>
        <w:rPr>
          <w:rFonts w:hint="eastAsia" w:ascii="Times New Roman" w:hAnsi="Times New Roman" w:eastAsia="仿宋_GB2312"/>
          <w:sz w:val="32"/>
          <w:szCs w:val="24"/>
        </w:rPr>
        <w:t>中介</w:t>
      </w:r>
      <w:r>
        <w:rPr>
          <w:rFonts w:ascii="Times New Roman" w:hAnsi="Times New Roman" w:eastAsia="仿宋_GB2312"/>
          <w:sz w:val="32"/>
          <w:szCs w:val="24"/>
        </w:rPr>
        <w:t>机构门店数量</w:t>
      </w:r>
      <w:r>
        <w:rPr>
          <w:rFonts w:hint="eastAsia" w:ascii="Times New Roman" w:hAnsi="Times New Roman" w:eastAsia="仿宋_GB2312"/>
          <w:sz w:val="32"/>
          <w:szCs w:val="24"/>
        </w:rPr>
        <w:t>呈</w:t>
      </w:r>
      <w:r>
        <w:rPr>
          <w:rFonts w:ascii="Times New Roman" w:hAnsi="Times New Roman" w:eastAsia="仿宋_GB2312"/>
          <w:sz w:val="32"/>
          <w:szCs w:val="24"/>
        </w:rPr>
        <w:t>下降态势（见表</w:t>
      </w:r>
      <w:r>
        <w:rPr>
          <w:rFonts w:hint="eastAsia" w:ascii="Times New Roman" w:hAnsi="Times New Roman" w:eastAsia="仿宋_GB2312"/>
          <w:sz w:val="32"/>
          <w:szCs w:val="24"/>
        </w:rPr>
        <w:t>1</w:t>
      </w:r>
      <w:r>
        <w:rPr>
          <w:rFonts w:ascii="Times New Roman" w:hAnsi="Times New Roman" w:eastAsia="仿宋_GB2312"/>
          <w:sz w:val="32"/>
          <w:szCs w:val="24"/>
        </w:rPr>
        <w:t>），其中</w:t>
      </w:r>
      <w:r>
        <w:rPr>
          <w:rFonts w:hint="eastAsia" w:ascii="Times New Roman" w:hAnsi="Times New Roman" w:eastAsia="仿宋_GB2312"/>
          <w:sz w:val="32"/>
          <w:szCs w:val="24"/>
        </w:rPr>
        <w:t>裕丰地产、链家、乐有家、合富置业、中原地产和德诚行</w:t>
      </w:r>
      <w:r>
        <w:rPr>
          <w:rFonts w:ascii="Times New Roman" w:hAnsi="Times New Roman" w:eastAsia="仿宋_GB2312"/>
          <w:sz w:val="32"/>
          <w:szCs w:val="24"/>
        </w:rPr>
        <w:t>六家传统大</w:t>
      </w:r>
      <w:r>
        <w:rPr>
          <w:rFonts w:hint="eastAsia" w:ascii="Times New Roman" w:hAnsi="Times New Roman" w:eastAsia="仿宋_GB2312"/>
          <w:sz w:val="32"/>
          <w:szCs w:val="24"/>
        </w:rPr>
        <w:t>型中介机构</w:t>
      </w:r>
      <w:r>
        <w:rPr>
          <w:rFonts w:ascii="Times New Roman" w:hAnsi="Times New Roman" w:eastAsia="仿宋_GB2312"/>
          <w:sz w:val="32"/>
          <w:szCs w:val="24"/>
        </w:rPr>
        <w:t>备案门店总量占比</w:t>
      </w:r>
      <w:r>
        <w:rPr>
          <w:rFonts w:hint="eastAsia" w:ascii="Times New Roman" w:hAnsi="Times New Roman" w:eastAsia="仿宋_GB2312"/>
          <w:sz w:val="32"/>
          <w:szCs w:val="24"/>
        </w:rPr>
        <w:t>近几年</w:t>
      </w:r>
      <w:r>
        <w:rPr>
          <w:rFonts w:ascii="Times New Roman" w:hAnsi="Times New Roman" w:eastAsia="仿宋_GB2312"/>
          <w:sz w:val="32"/>
          <w:szCs w:val="24"/>
        </w:rPr>
        <w:t>连续下降（见图</w:t>
      </w:r>
      <w:r>
        <w:rPr>
          <w:rFonts w:hint="eastAsia" w:ascii="Times New Roman" w:hAnsi="Times New Roman" w:eastAsia="仿宋_GB2312"/>
          <w:sz w:val="32"/>
          <w:szCs w:val="24"/>
        </w:rPr>
        <w:t>4</w:t>
      </w:r>
      <w:r>
        <w:rPr>
          <w:rFonts w:ascii="Times New Roman" w:hAnsi="Times New Roman" w:eastAsia="仿宋_GB2312"/>
          <w:sz w:val="32"/>
          <w:szCs w:val="24"/>
        </w:rPr>
        <w:t>），德诚行和乐有家备案门店数量</w:t>
      </w:r>
      <w:r>
        <w:rPr>
          <w:rFonts w:hint="eastAsia" w:ascii="Times New Roman" w:hAnsi="Times New Roman" w:eastAsia="仿宋_GB2312"/>
          <w:sz w:val="32"/>
          <w:szCs w:val="24"/>
        </w:rPr>
        <w:t>2024年的</w:t>
      </w:r>
      <w:r>
        <w:rPr>
          <w:rFonts w:ascii="Times New Roman" w:hAnsi="Times New Roman" w:eastAsia="仿宋_GB2312"/>
          <w:sz w:val="32"/>
          <w:szCs w:val="24"/>
        </w:rPr>
        <w:t>同比降幅分别</w:t>
      </w:r>
      <w:r>
        <w:rPr>
          <w:rFonts w:hint="eastAsia" w:ascii="Times New Roman" w:hAnsi="Times New Roman" w:eastAsia="仿宋_GB2312"/>
          <w:sz w:val="32"/>
          <w:szCs w:val="24"/>
        </w:rPr>
        <w:t>为</w:t>
      </w:r>
      <w:r>
        <w:rPr>
          <w:rFonts w:ascii="Times New Roman" w:hAnsi="Times New Roman" w:eastAsia="仿宋_GB2312"/>
          <w:sz w:val="32"/>
          <w:szCs w:val="24"/>
        </w:rPr>
        <w:t>62.5%和49.5%（见表</w:t>
      </w:r>
      <w:r>
        <w:rPr>
          <w:rFonts w:hint="eastAsia" w:ascii="Times New Roman" w:hAnsi="Times New Roman" w:eastAsia="仿宋_GB2312"/>
          <w:sz w:val="32"/>
          <w:szCs w:val="24"/>
        </w:rPr>
        <w:t>2</w:t>
      </w:r>
      <w:r>
        <w:rPr>
          <w:rFonts w:ascii="Times New Roman" w:hAnsi="Times New Roman" w:eastAsia="仿宋_GB2312"/>
          <w:sz w:val="32"/>
          <w:szCs w:val="24"/>
        </w:rPr>
        <w:t>）。</w:t>
      </w:r>
    </w:p>
    <w:p w14:paraId="02F28372">
      <w:pPr>
        <w:spacing w:line="360" w:lineRule="auto"/>
        <w:ind w:firstLine="640" w:firstLineChars="200"/>
        <w:rPr>
          <w:rFonts w:ascii="Times New Roman" w:hAnsi="Times New Roman" w:eastAsia="仿宋_GB2312"/>
          <w:sz w:val="32"/>
          <w:szCs w:val="24"/>
        </w:rPr>
      </w:pPr>
    </w:p>
    <w:p w14:paraId="7BF4F975">
      <w:pPr>
        <w:jc w:val="center"/>
        <w:rPr>
          <w:rFonts w:ascii="Times New Roman" w:hAnsi="Times New Roman"/>
          <w:sz w:val="24"/>
        </w:rPr>
      </w:pPr>
      <w:r>
        <w:rPr>
          <w:rFonts w:hint="eastAsia" w:ascii="Times New Roman" w:hAnsi="Times New Roman"/>
          <w:sz w:val="24"/>
        </w:rPr>
        <w:t>表1</w:t>
      </w:r>
      <w:r>
        <w:rPr>
          <w:rFonts w:ascii="Times New Roman" w:hAnsi="Times New Roman"/>
          <w:sz w:val="24"/>
        </w:rPr>
        <w:t xml:space="preserve">  </w:t>
      </w:r>
      <w:r>
        <w:rPr>
          <w:rFonts w:hint="eastAsia" w:ascii="Times New Roman" w:hAnsi="Times New Roman"/>
          <w:sz w:val="24"/>
        </w:rPr>
        <w:t>广州市门店数排名前</w:t>
      </w:r>
      <w:r>
        <w:rPr>
          <w:rFonts w:ascii="Times New Roman" w:hAnsi="Times New Roman"/>
          <w:sz w:val="24"/>
        </w:rPr>
        <w:t>20</w:t>
      </w:r>
      <w:r>
        <w:rPr>
          <w:rFonts w:hint="eastAsia" w:ascii="Times New Roman" w:hAnsi="Times New Roman"/>
          <w:sz w:val="24"/>
        </w:rPr>
        <w:t>的备案中介机构及近三年备案门店数量</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4645"/>
        <w:gridCol w:w="921"/>
        <w:gridCol w:w="993"/>
        <w:gridCol w:w="992"/>
        <w:gridCol w:w="992"/>
      </w:tblGrid>
      <w:tr w14:paraId="7D44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63840076">
            <w:pPr>
              <w:spacing w:before="120" w:beforeLines="50"/>
              <w:jc w:val="center"/>
              <w:rPr>
                <w:rFonts w:ascii="Times New Roman" w:hAnsi="Times New Roman" w:eastAsia="黑体"/>
                <w:b/>
                <w:bCs/>
                <w:color w:val="000000"/>
                <w:sz w:val="22"/>
              </w:rPr>
            </w:pPr>
            <w:r>
              <w:rPr>
                <w:rFonts w:hint="eastAsia" w:ascii="Times New Roman" w:hAnsi="Times New Roman" w:eastAsia="黑体"/>
                <w:b/>
                <w:bCs/>
                <w:color w:val="000000"/>
                <w:sz w:val="22"/>
              </w:rPr>
              <w:t>序号</w:t>
            </w:r>
          </w:p>
        </w:tc>
        <w:tc>
          <w:tcPr>
            <w:tcW w:w="4645" w:type="dxa"/>
            <w:vAlign w:val="center"/>
          </w:tcPr>
          <w:p w14:paraId="19400A96">
            <w:pPr>
              <w:spacing w:before="120" w:beforeLines="50"/>
              <w:jc w:val="center"/>
              <w:rPr>
                <w:rFonts w:ascii="Times New Roman" w:hAnsi="Times New Roman" w:eastAsia="黑体"/>
                <w:b/>
                <w:bCs/>
                <w:color w:val="000000"/>
                <w:sz w:val="22"/>
              </w:rPr>
            </w:pPr>
            <w:r>
              <w:rPr>
                <w:rFonts w:hint="eastAsia" w:ascii="Times New Roman" w:hAnsi="Times New Roman" w:eastAsia="黑体"/>
                <w:b/>
                <w:bCs/>
                <w:color w:val="000000"/>
                <w:sz w:val="22"/>
              </w:rPr>
              <w:t>中介机构名称</w:t>
            </w:r>
          </w:p>
        </w:tc>
        <w:tc>
          <w:tcPr>
            <w:tcW w:w="921" w:type="dxa"/>
            <w:vAlign w:val="center"/>
          </w:tcPr>
          <w:p w14:paraId="67D8F0FA">
            <w:pPr>
              <w:spacing w:before="120" w:beforeLines="50"/>
              <w:jc w:val="center"/>
              <w:rPr>
                <w:rFonts w:ascii="Times New Roman" w:hAnsi="Times New Roman" w:eastAsia="黑体"/>
                <w:b/>
                <w:bCs/>
                <w:color w:val="000000"/>
                <w:sz w:val="22"/>
              </w:rPr>
            </w:pPr>
            <w:r>
              <w:rPr>
                <w:rFonts w:ascii="Times New Roman" w:hAnsi="Times New Roman" w:eastAsia="黑体"/>
                <w:b/>
                <w:bCs/>
                <w:color w:val="000000"/>
                <w:sz w:val="22"/>
              </w:rPr>
              <w:t>2022</w:t>
            </w:r>
            <w:r>
              <w:rPr>
                <w:rFonts w:hint="eastAsia" w:ascii="Times New Roman" w:hAnsi="Times New Roman" w:eastAsia="黑体"/>
                <w:b/>
                <w:bCs/>
                <w:color w:val="000000"/>
                <w:sz w:val="22"/>
              </w:rPr>
              <w:t>年</w:t>
            </w:r>
          </w:p>
        </w:tc>
        <w:tc>
          <w:tcPr>
            <w:tcW w:w="993" w:type="dxa"/>
            <w:vAlign w:val="center"/>
          </w:tcPr>
          <w:p w14:paraId="0DC32012">
            <w:pPr>
              <w:spacing w:before="120" w:beforeLines="50"/>
              <w:jc w:val="center"/>
              <w:rPr>
                <w:rFonts w:ascii="Times New Roman" w:hAnsi="Times New Roman" w:eastAsia="黑体"/>
                <w:b/>
                <w:bCs/>
                <w:color w:val="000000"/>
                <w:sz w:val="22"/>
              </w:rPr>
            </w:pPr>
            <w:r>
              <w:rPr>
                <w:rFonts w:ascii="Times New Roman" w:hAnsi="Times New Roman" w:eastAsia="黑体"/>
                <w:b/>
                <w:bCs/>
                <w:color w:val="000000"/>
                <w:sz w:val="22"/>
              </w:rPr>
              <w:t>2023</w:t>
            </w:r>
            <w:r>
              <w:rPr>
                <w:rFonts w:hint="eastAsia" w:ascii="Times New Roman" w:hAnsi="Times New Roman" w:eastAsia="黑体"/>
                <w:b/>
                <w:bCs/>
                <w:color w:val="000000"/>
                <w:sz w:val="22"/>
              </w:rPr>
              <w:t>年</w:t>
            </w:r>
          </w:p>
        </w:tc>
        <w:tc>
          <w:tcPr>
            <w:tcW w:w="992" w:type="dxa"/>
            <w:vAlign w:val="center"/>
          </w:tcPr>
          <w:p w14:paraId="7A55D9BB">
            <w:pPr>
              <w:spacing w:before="120" w:beforeLines="50"/>
              <w:jc w:val="center"/>
              <w:rPr>
                <w:rFonts w:ascii="Times New Roman" w:hAnsi="Times New Roman" w:eastAsia="黑体"/>
                <w:b/>
                <w:bCs/>
                <w:color w:val="000000"/>
                <w:sz w:val="22"/>
              </w:rPr>
            </w:pPr>
            <w:r>
              <w:rPr>
                <w:rFonts w:ascii="Times New Roman" w:hAnsi="Times New Roman" w:eastAsia="黑体"/>
                <w:b/>
                <w:bCs/>
                <w:color w:val="000000"/>
                <w:sz w:val="22"/>
              </w:rPr>
              <w:t>2024</w:t>
            </w:r>
            <w:r>
              <w:rPr>
                <w:rFonts w:hint="eastAsia" w:ascii="Times New Roman" w:hAnsi="Times New Roman" w:eastAsia="黑体"/>
                <w:b/>
                <w:bCs/>
                <w:color w:val="000000"/>
                <w:sz w:val="22"/>
              </w:rPr>
              <w:t>年</w:t>
            </w:r>
          </w:p>
        </w:tc>
        <w:tc>
          <w:tcPr>
            <w:tcW w:w="992" w:type="dxa"/>
          </w:tcPr>
          <w:p w14:paraId="564E84FF">
            <w:pPr>
              <w:spacing w:before="120" w:beforeLines="50"/>
              <w:jc w:val="center"/>
              <w:rPr>
                <w:rFonts w:ascii="Times New Roman" w:hAnsi="Times New Roman" w:eastAsia="黑体"/>
                <w:b/>
                <w:bCs/>
                <w:color w:val="000000"/>
                <w:sz w:val="22"/>
              </w:rPr>
            </w:pPr>
            <w:r>
              <w:rPr>
                <w:rFonts w:hint="eastAsia" w:ascii="Times New Roman" w:hAnsi="Times New Roman" w:eastAsia="黑体"/>
                <w:b/>
                <w:bCs/>
                <w:color w:val="000000"/>
                <w:sz w:val="22"/>
              </w:rPr>
              <w:t>2024年</w:t>
            </w:r>
          </w:p>
          <w:p w14:paraId="278ECAC6">
            <w:pPr>
              <w:spacing w:before="120" w:beforeLines="50"/>
              <w:jc w:val="center"/>
              <w:rPr>
                <w:rFonts w:ascii="Times New Roman" w:hAnsi="Times New Roman" w:eastAsia="黑体"/>
                <w:b/>
                <w:bCs/>
                <w:color w:val="000000"/>
                <w:sz w:val="22"/>
              </w:rPr>
            </w:pPr>
            <w:r>
              <w:rPr>
                <w:rFonts w:hint="eastAsia" w:ascii="Times New Roman" w:hAnsi="Times New Roman" w:eastAsia="黑体"/>
                <w:b/>
                <w:bCs/>
                <w:color w:val="000000"/>
                <w:sz w:val="22"/>
              </w:rPr>
              <w:t>同比</w:t>
            </w:r>
          </w:p>
        </w:tc>
      </w:tr>
      <w:tr w14:paraId="7B0A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vAlign w:val="center"/>
          </w:tcPr>
          <w:p w14:paraId="212B53BB">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1</w:t>
            </w:r>
          </w:p>
        </w:tc>
        <w:tc>
          <w:tcPr>
            <w:tcW w:w="4645" w:type="dxa"/>
            <w:vAlign w:val="center"/>
          </w:tcPr>
          <w:p w14:paraId="1410F591">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广东链家房地产经纪有限公司</w:t>
            </w:r>
          </w:p>
        </w:tc>
        <w:tc>
          <w:tcPr>
            <w:tcW w:w="921" w:type="dxa"/>
            <w:vAlign w:val="center"/>
          </w:tcPr>
          <w:p w14:paraId="19C2FF3E">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288</w:t>
            </w:r>
          </w:p>
        </w:tc>
        <w:tc>
          <w:tcPr>
            <w:tcW w:w="993" w:type="dxa"/>
            <w:vAlign w:val="center"/>
          </w:tcPr>
          <w:p w14:paraId="6F627AFB">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226</w:t>
            </w:r>
          </w:p>
        </w:tc>
        <w:tc>
          <w:tcPr>
            <w:tcW w:w="992" w:type="dxa"/>
            <w:vAlign w:val="center"/>
          </w:tcPr>
          <w:p w14:paraId="6BAF19B3">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212</w:t>
            </w:r>
          </w:p>
        </w:tc>
        <w:tc>
          <w:tcPr>
            <w:tcW w:w="992" w:type="dxa"/>
            <w:vAlign w:val="center"/>
          </w:tcPr>
          <w:p w14:paraId="2BE2398C">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-6.2%</w:t>
            </w:r>
          </w:p>
        </w:tc>
      </w:tr>
      <w:tr w14:paraId="5526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vAlign w:val="center"/>
          </w:tcPr>
          <w:p w14:paraId="42E66827">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2</w:t>
            </w:r>
          </w:p>
        </w:tc>
        <w:tc>
          <w:tcPr>
            <w:tcW w:w="4645" w:type="dxa"/>
            <w:vAlign w:val="center"/>
          </w:tcPr>
          <w:p w14:paraId="6F9D4180">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广东合富房地产置业有限公司</w:t>
            </w:r>
          </w:p>
        </w:tc>
        <w:tc>
          <w:tcPr>
            <w:tcW w:w="921" w:type="dxa"/>
            <w:vAlign w:val="center"/>
          </w:tcPr>
          <w:p w14:paraId="1EBC0153">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162</w:t>
            </w:r>
          </w:p>
        </w:tc>
        <w:tc>
          <w:tcPr>
            <w:tcW w:w="993" w:type="dxa"/>
            <w:vAlign w:val="center"/>
          </w:tcPr>
          <w:p w14:paraId="7FA7DD82">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129</w:t>
            </w:r>
          </w:p>
        </w:tc>
        <w:tc>
          <w:tcPr>
            <w:tcW w:w="992" w:type="dxa"/>
            <w:vAlign w:val="center"/>
          </w:tcPr>
          <w:p w14:paraId="7828E53F">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97</w:t>
            </w:r>
          </w:p>
        </w:tc>
        <w:tc>
          <w:tcPr>
            <w:tcW w:w="992" w:type="dxa"/>
            <w:vAlign w:val="center"/>
          </w:tcPr>
          <w:p w14:paraId="23020FDB">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-24.8%</w:t>
            </w:r>
          </w:p>
        </w:tc>
      </w:tr>
      <w:tr w14:paraId="28A2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vAlign w:val="center"/>
          </w:tcPr>
          <w:p w14:paraId="424C9118">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3</w:t>
            </w:r>
          </w:p>
        </w:tc>
        <w:tc>
          <w:tcPr>
            <w:tcW w:w="4645" w:type="dxa"/>
            <w:vAlign w:val="center"/>
          </w:tcPr>
          <w:p w14:paraId="6E58368D">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广东中原地产代理有限公司</w:t>
            </w:r>
          </w:p>
        </w:tc>
        <w:tc>
          <w:tcPr>
            <w:tcW w:w="921" w:type="dxa"/>
            <w:vAlign w:val="center"/>
          </w:tcPr>
          <w:p w14:paraId="60CD863B">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81</w:t>
            </w:r>
          </w:p>
        </w:tc>
        <w:tc>
          <w:tcPr>
            <w:tcW w:w="993" w:type="dxa"/>
            <w:vAlign w:val="center"/>
          </w:tcPr>
          <w:p w14:paraId="5E9A0099">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70</w:t>
            </w:r>
          </w:p>
        </w:tc>
        <w:tc>
          <w:tcPr>
            <w:tcW w:w="992" w:type="dxa"/>
            <w:vAlign w:val="center"/>
          </w:tcPr>
          <w:p w14:paraId="3976B47E">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60</w:t>
            </w:r>
          </w:p>
        </w:tc>
        <w:tc>
          <w:tcPr>
            <w:tcW w:w="992" w:type="dxa"/>
            <w:vAlign w:val="center"/>
          </w:tcPr>
          <w:p w14:paraId="4E264C31">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-14.3%</w:t>
            </w:r>
          </w:p>
        </w:tc>
      </w:tr>
      <w:tr w14:paraId="4E09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vAlign w:val="center"/>
          </w:tcPr>
          <w:p w14:paraId="1895FEFB">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4</w:t>
            </w:r>
          </w:p>
        </w:tc>
        <w:tc>
          <w:tcPr>
            <w:tcW w:w="4645" w:type="dxa"/>
            <w:vAlign w:val="center"/>
          </w:tcPr>
          <w:p w14:paraId="3603FF6D">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广州市乐有家房产经纪有限公司</w:t>
            </w:r>
          </w:p>
        </w:tc>
        <w:tc>
          <w:tcPr>
            <w:tcW w:w="921" w:type="dxa"/>
            <w:vAlign w:val="center"/>
          </w:tcPr>
          <w:p w14:paraId="1E5CAF4B">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185</w:t>
            </w:r>
          </w:p>
        </w:tc>
        <w:tc>
          <w:tcPr>
            <w:tcW w:w="993" w:type="dxa"/>
            <w:vAlign w:val="center"/>
          </w:tcPr>
          <w:p w14:paraId="5A1B2736">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93</w:t>
            </w:r>
          </w:p>
        </w:tc>
        <w:tc>
          <w:tcPr>
            <w:tcW w:w="992" w:type="dxa"/>
            <w:vAlign w:val="center"/>
          </w:tcPr>
          <w:p w14:paraId="5845C362">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47</w:t>
            </w:r>
          </w:p>
        </w:tc>
        <w:tc>
          <w:tcPr>
            <w:tcW w:w="992" w:type="dxa"/>
            <w:vAlign w:val="center"/>
          </w:tcPr>
          <w:p w14:paraId="493050FE">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-49.5%</w:t>
            </w:r>
          </w:p>
        </w:tc>
      </w:tr>
      <w:tr w14:paraId="4337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vAlign w:val="center"/>
          </w:tcPr>
          <w:p w14:paraId="2212B04E">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5</w:t>
            </w:r>
          </w:p>
        </w:tc>
        <w:tc>
          <w:tcPr>
            <w:tcW w:w="4645" w:type="dxa"/>
            <w:vAlign w:val="center"/>
          </w:tcPr>
          <w:p w14:paraId="034D5FD9">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广州仁隆房地产销售代理有限公司（裕丰地产）</w:t>
            </w:r>
          </w:p>
        </w:tc>
        <w:tc>
          <w:tcPr>
            <w:tcW w:w="921" w:type="dxa"/>
            <w:vAlign w:val="center"/>
          </w:tcPr>
          <w:p w14:paraId="1E5E4E68">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54</w:t>
            </w:r>
          </w:p>
        </w:tc>
        <w:tc>
          <w:tcPr>
            <w:tcW w:w="993" w:type="dxa"/>
            <w:vAlign w:val="center"/>
          </w:tcPr>
          <w:p w14:paraId="2F43C617">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40</w:t>
            </w:r>
          </w:p>
        </w:tc>
        <w:tc>
          <w:tcPr>
            <w:tcW w:w="992" w:type="dxa"/>
            <w:vAlign w:val="center"/>
          </w:tcPr>
          <w:p w14:paraId="5820D63C">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30</w:t>
            </w:r>
          </w:p>
        </w:tc>
        <w:tc>
          <w:tcPr>
            <w:tcW w:w="992" w:type="dxa"/>
            <w:vAlign w:val="center"/>
          </w:tcPr>
          <w:p w14:paraId="59504CED">
            <w:pPr>
              <w:spacing w:before="120" w:beforeLines="50" w:line="480" w:lineRule="auto"/>
              <w:jc w:val="center"/>
              <w:rPr>
                <w:rFonts w:ascii="Times New Roman" w:hAnsi="Times New Roman" w:eastAsia="仿宋"/>
                <w:sz w:val="22"/>
              </w:rPr>
            </w:pPr>
            <w:r>
              <w:rPr>
                <w:rFonts w:ascii="Times New Roman" w:hAnsi="Times New Roman" w:eastAsia="仿宋"/>
                <w:color w:val="000000"/>
                <w:sz w:val="22"/>
              </w:rPr>
              <w:t>-25.0%</w:t>
            </w:r>
          </w:p>
        </w:tc>
      </w:tr>
      <w:tr w14:paraId="252D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2AE4775F">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6</w:t>
            </w:r>
          </w:p>
        </w:tc>
        <w:tc>
          <w:tcPr>
            <w:tcW w:w="4645" w:type="dxa"/>
            <w:vAlign w:val="center"/>
          </w:tcPr>
          <w:p w14:paraId="66B6D2D2">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广州礼德房地产销售代理有限公司（裕丰地产）</w:t>
            </w:r>
          </w:p>
        </w:tc>
        <w:tc>
          <w:tcPr>
            <w:tcW w:w="921" w:type="dxa"/>
            <w:vAlign w:val="center"/>
          </w:tcPr>
          <w:p w14:paraId="335CD1ED">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33</w:t>
            </w:r>
          </w:p>
        </w:tc>
        <w:tc>
          <w:tcPr>
            <w:tcW w:w="993" w:type="dxa"/>
            <w:vAlign w:val="center"/>
          </w:tcPr>
          <w:p w14:paraId="161F1484">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31</w:t>
            </w:r>
          </w:p>
        </w:tc>
        <w:tc>
          <w:tcPr>
            <w:tcW w:w="992" w:type="dxa"/>
            <w:vAlign w:val="center"/>
          </w:tcPr>
          <w:p w14:paraId="49858C84">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27</w:t>
            </w:r>
          </w:p>
        </w:tc>
        <w:tc>
          <w:tcPr>
            <w:tcW w:w="992" w:type="dxa"/>
            <w:vAlign w:val="center"/>
          </w:tcPr>
          <w:p w14:paraId="7FBCC21F">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-12.9%</w:t>
            </w:r>
          </w:p>
        </w:tc>
      </w:tr>
      <w:tr w14:paraId="7C4C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529DD9E6">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7</w:t>
            </w:r>
          </w:p>
        </w:tc>
        <w:tc>
          <w:tcPr>
            <w:tcW w:w="4645" w:type="dxa"/>
            <w:vAlign w:val="center"/>
          </w:tcPr>
          <w:p w14:paraId="2717DDE7">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广州天河区越服房地产经纪有限公司（越秀）</w:t>
            </w:r>
          </w:p>
        </w:tc>
        <w:tc>
          <w:tcPr>
            <w:tcW w:w="921" w:type="dxa"/>
            <w:vAlign w:val="center"/>
          </w:tcPr>
          <w:p w14:paraId="436B4A56">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13</w:t>
            </w:r>
          </w:p>
        </w:tc>
        <w:tc>
          <w:tcPr>
            <w:tcW w:w="993" w:type="dxa"/>
            <w:vAlign w:val="center"/>
          </w:tcPr>
          <w:p w14:paraId="4E4FD75D">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15</w:t>
            </w:r>
          </w:p>
        </w:tc>
        <w:tc>
          <w:tcPr>
            <w:tcW w:w="992" w:type="dxa"/>
            <w:vAlign w:val="center"/>
          </w:tcPr>
          <w:p w14:paraId="22834E4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25</w:t>
            </w:r>
          </w:p>
        </w:tc>
        <w:tc>
          <w:tcPr>
            <w:tcW w:w="992" w:type="dxa"/>
            <w:vAlign w:val="center"/>
          </w:tcPr>
          <w:p w14:paraId="3DD78173">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66.7%</w:t>
            </w:r>
          </w:p>
        </w:tc>
      </w:tr>
      <w:tr w14:paraId="0150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698" w:type="dxa"/>
          </w:tcPr>
          <w:p w14:paraId="062148AF">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9</w:t>
            </w:r>
          </w:p>
        </w:tc>
        <w:tc>
          <w:tcPr>
            <w:tcW w:w="4645" w:type="dxa"/>
            <w:vAlign w:val="center"/>
          </w:tcPr>
          <w:p w14:paraId="000B8C45">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广州裕丰咨询顾问有限公司（裕丰地产）</w:t>
            </w:r>
          </w:p>
        </w:tc>
        <w:tc>
          <w:tcPr>
            <w:tcW w:w="921" w:type="dxa"/>
            <w:vAlign w:val="center"/>
          </w:tcPr>
          <w:p w14:paraId="78048104">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35</w:t>
            </w:r>
          </w:p>
        </w:tc>
        <w:tc>
          <w:tcPr>
            <w:tcW w:w="993" w:type="dxa"/>
            <w:vAlign w:val="center"/>
          </w:tcPr>
          <w:p w14:paraId="24064DBF">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29</w:t>
            </w:r>
          </w:p>
        </w:tc>
        <w:tc>
          <w:tcPr>
            <w:tcW w:w="992" w:type="dxa"/>
            <w:vAlign w:val="center"/>
          </w:tcPr>
          <w:p w14:paraId="1C9EA2E1">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25</w:t>
            </w:r>
          </w:p>
        </w:tc>
        <w:tc>
          <w:tcPr>
            <w:tcW w:w="992" w:type="dxa"/>
            <w:vAlign w:val="center"/>
          </w:tcPr>
          <w:p w14:paraId="7408EE58">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-13.8%</w:t>
            </w:r>
          </w:p>
        </w:tc>
      </w:tr>
      <w:tr w14:paraId="179B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335355A5">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8</w:t>
            </w:r>
          </w:p>
        </w:tc>
        <w:tc>
          <w:tcPr>
            <w:tcW w:w="4645" w:type="dxa"/>
            <w:vAlign w:val="center"/>
          </w:tcPr>
          <w:p w14:paraId="022DBF26">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广州信礼房地产销售代理有限公司（裕丰地产）</w:t>
            </w:r>
          </w:p>
        </w:tc>
        <w:tc>
          <w:tcPr>
            <w:tcW w:w="921" w:type="dxa"/>
            <w:vAlign w:val="center"/>
          </w:tcPr>
          <w:p w14:paraId="7CD840E6">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32</w:t>
            </w:r>
          </w:p>
        </w:tc>
        <w:tc>
          <w:tcPr>
            <w:tcW w:w="993" w:type="dxa"/>
            <w:vAlign w:val="center"/>
          </w:tcPr>
          <w:p w14:paraId="40C3AAB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29</w:t>
            </w:r>
          </w:p>
        </w:tc>
        <w:tc>
          <w:tcPr>
            <w:tcW w:w="992" w:type="dxa"/>
            <w:vAlign w:val="center"/>
          </w:tcPr>
          <w:p w14:paraId="705CEC5E">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24</w:t>
            </w:r>
          </w:p>
        </w:tc>
        <w:tc>
          <w:tcPr>
            <w:tcW w:w="992" w:type="dxa"/>
            <w:vAlign w:val="center"/>
          </w:tcPr>
          <w:p w14:paraId="140C3BB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-17.2%</w:t>
            </w:r>
          </w:p>
        </w:tc>
      </w:tr>
      <w:tr w14:paraId="0DA9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6EC610ED">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10</w:t>
            </w:r>
          </w:p>
        </w:tc>
        <w:tc>
          <w:tcPr>
            <w:tcW w:w="4645" w:type="dxa"/>
            <w:vAlign w:val="center"/>
          </w:tcPr>
          <w:p w14:paraId="30C52D70">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广州信仁房地产销售代理有限公司（裕丰地产）</w:t>
            </w:r>
          </w:p>
        </w:tc>
        <w:tc>
          <w:tcPr>
            <w:tcW w:w="921" w:type="dxa"/>
            <w:vAlign w:val="center"/>
          </w:tcPr>
          <w:p w14:paraId="08FF0084">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57</w:t>
            </w:r>
          </w:p>
        </w:tc>
        <w:tc>
          <w:tcPr>
            <w:tcW w:w="993" w:type="dxa"/>
            <w:vAlign w:val="center"/>
          </w:tcPr>
          <w:p w14:paraId="6D0394FB">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34</w:t>
            </w:r>
          </w:p>
        </w:tc>
        <w:tc>
          <w:tcPr>
            <w:tcW w:w="992" w:type="dxa"/>
            <w:vAlign w:val="center"/>
          </w:tcPr>
          <w:p w14:paraId="5D17C3BF">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22</w:t>
            </w:r>
          </w:p>
        </w:tc>
        <w:tc>
          <w:tcPr>
            <w:tcW w:w="992" w:type="dxa"/>
            <w:vAlign w:val="center"/>
          </w:tcPr>
          <w:p w14:paraId="0529633D">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-35.3%</w:t>
            </w:r>
          </w:p>
        </w:tc>
      </w:tr>
      <w:tr w14:paraId="444D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05163E22">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11</w:t>
            </w:r>
          </w:p>
        </w:tc>
        <w:tc>
          <w:tcPr>
            <w:tcW w:w="4645" w:type="dxa"/>
          </w:tcPr>
          <w:p w14:paraId="34E0FC61">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广东德诚行地产集团有限公司（德诚行）</w:t>
            </w:r>
          </w:p>
        </w:tc>
        <w:tc>
          <w:tcPr>
            <w:tcW w:w="921" w:type="dxa"/>
          </w:tcPr>
          <w:p w14:paraId="00D58B34">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68</w:t>
            </w:r>
          </w:p>
        </w:tc>
        <w:tc>
          <w:tcPr>
            <w:tcW w:w="993" w:type="dxa"/>
          </w:tcPr>
          <w:p w14:paraId="2E4F2671">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48</w:t>
            </w:r>
          </w:p>
        </w:tc>
        <w:tc>
          <w:tcPr>
            <w:tcW w:w="992" w:type="dxa"/>
          </w:tcPr>
          <w:p w14:paraId="6F278B7E">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18</w:t>
            </w:r>
          </w:p>
        </w:tc>
        <w:tc>
          <w:tcPr>
            <w:tcW w:w="992" w:type="dxa"/>
          </w:tcPr>
          <w:p w14:paraId="732E2855">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-62.5%</w:t>
            </w:r>
          </w:p>
        </w:tc>
      </w:tr>
      <w:tr w14:paraId="05B5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5647B98F">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12</w:t>
            </w:r>
          </w:p>
        </w:tc>
        <w:tc>
          <w:tcPr>
            <w:tcW w:w="4645" w:type="dxa"/>
            <w:vAlign w:val="center"/>
          </w:tcPr>
          <w:p w14:paraId="01961DBF">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广州贝壳科技服务有限公司</w:t>
            </w:r>
          </w:p>
        </w:tc>
        <w:tc>
          <w:tcPr>
            <w:tcW w:w="921" w:type="dxa"/>
            <w:vAlign w:val="center"/>
          </w:tcPr>
          <w:p w14:paraId="0C39195B">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16</w:t>
            </w:r>
          </w:p>
        </w:tc>
        <w:tc>
          <w:tcPr>
            <w:tcW w:w="993" w:type="dxa"/>
            <w:vAlign w:val="center"/>
          </w:tcPr>
          <w:p w14:paraId="7E3598A7">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16</w:t>
            </w:r>
          </w:p>
        </w:tc>
        <w:tc>
          <w:tcPr>
            <w:tcW w:w="992" w:type="dxa"/>
            <w:vAlign w:val="center"/>
          </w:tcPr>
          <w:p w14:paraId="58C63710">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16</w:t>
            </w:r>
          </w:p>
        </w:tc>
        <w:tc>
          <w:tcPr>
            <w:tcW w:w="992" w:type="dxa"/>
            <w:vAlign w:val="center"/>
          </w:tcPr>
          <w:p w14:paraId="15414594">
            <w:pPr>
              <w:spacing w:before="120" w:beforeLines="50" w:line="480" w:lineRule="auto"/>
              <w:jc w:val="center"/>
              <w:rPr>
                <w:rFonts w:ascii="Times New Roman" w:hAnsi="Times New Roman" w:eastAsia="仿宋"/>
                <w:color w:val="000000"/>
                <w:sz w:val="22"/>
              </w:rPr>
            </w:pPr>
            <w:r>
              <w:rPr>
                <w:rFonts w:hint="eastAsia" w:ascii="Times New Roman" w:hAnsi="Times New Roman" w:eastAsia="仿宋"/>
                <w:color w:val="000000"/>
                <w:sz w:val="22"/>
              </w:rPr>
              <w:t>持平</w:t>
            </w:r>
          </w:p>
        </w:tc>
      </w:tr>
      <w:tr w14:paraId="5889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153B8BC8">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13</w:t>
            </w:r>
          </w:p>
        </w:tc>
        <w:tc>
          <w:tcPr>
            <w:tcW w:w="4645" w:type="dxa"/>
            <w:vAlign w:val="center"/>
          </w:tcPr>
          <w:p w14:paraId="144DC338">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广州市朴邻房产经纪有限公司（万科）</w:t>
            </w:r>
          </w:p>
        </w:tc>
        <w:tc>
          <w:tcPr>
            <w:tcW w:w="921" w:type="dxa"/>
            <w:vAlign w:val="center"/>
          </w:tcPr>
          <w:p w14:paraId="42E82EEB">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20</w:t>
            </w:r>
          </w:p>
        </w:tc>
        <w:tc>
          <w:tcPr>
            <w:tcW w:w="993" w:type="dxa"/>
            <w:vAlign w:val="center"/>
          </w:tcPr>
          <w:p w14:paraId="5229306B">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20</w:t>
            </w:r>
          </w:p>
        </w:tc>
        <w:tc>
          <w:tcPr>
            <w:tcW w:w="992" w:type="dxa"/>
            <w:vAlign w:val="center"/>
          </w:tcPr>
          <w:p w14:paraId="7CC23DA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16</w:t>
            </w:r>
          </w:p>
        </w:tc>
        <w:tc>
          <w:tcPr>
            <w:tcW w:w="992" w:type="dxa"/>
            <w:vAlign w:val="center"/>
          </w:tcPr>
          <w:p w14:paraId="3FC73C2B">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-20.0%</w:t>
            </w:r>
          </w:p>
        </w:tc>
      </w:tr>
      <w:tr w14:paraId="391C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00E94E9E">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14</w:t>
            </w:r>
          </w:p>
        </w:tc>
        <w:tc>
          <w:tcPr>
            <w:tcW w:w="4645" w:type="dxa"/>
            <w:vAlign w:val="center"/>
          </w:tcPr>
          <w:p w14:paraId="221DEE84">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广州明昇房地产销售代理有限公司（裕丰地产）</w:t>
            </w:r>
          </w:p>
        </w:tc>
        <w:tc>
          <w:tcPr>
            <w:tcW w:w="921" w:type="dxa"/>
            <w:vAlign w:val="center"/>
          </w:tcPr>
          <w:p w14:paraId="4657795E">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25</w:t>
            </w:r>
          </w:p>
        </w:tc>
        <w:tc>
          <w:tcPr>
            <w:tcW w:w="993" w:type="dxa"/>
            <w:vAlign w:val="center"/>
          </w:tcPr>
          <w:p w14:paraId="70024DE7">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19</w:t>
            </w:r>
          </w:p>
        </w:tc>
        <w:tc>
          <w:tcPr>
            <w:tcW w:w="992" w:type="dxa"/>
            <w:vAlign w:val="center"/>
          </w:tcPr>
          <w:p w14:paraId="5B85B355">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15</w:t>
            </w:r>
          </w:p>
        </w:tc>
        <w:tc>
          <w:tcPr>
            <w:tcW w:w="992" w:type="dxa"/>
            <w:vAlign w:val="center"/>
          </w:tcPr>
          <w:p w14:paraId="3C7D8117">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-21.1%</w:t>
            </w:r>
          </w:p>
        </w:tc>
      </w:tr>
      <w:tr w14:paraId="39C4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745909A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15</w:t>
            </w:r>
          </w:p>
        </w:tc>
        <w:tc>
          <w:tcPr>
            <w:tcW w:w="4645" w:type="dxa"/>
            <w:vAlign w:val="center"/>
          </w:tcPr>
          <w:p w14:paraId="4EEC656F">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广州市置家房地产代理有限公司</w:t>
            </w:r>
          </w:p>
        </w:tc>
        <w:tc>
          <w:tcPr>
            <w:tcW w:w="921" w:type="dxa"/>
            <w:vAlign w:val="center"/>
          </w:tcPr>
          <w:p w14:paraId="26B96D33">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21</w:t>
            </w:r>
          </w:p>
        </w:tc>
        <w:tc>
          <w:tcPr>
            <w:tcW w:w="993" w:type="dxa"/>
            <w:vAlign w:val="center"/>
          </w:tcPr>
          <w:p w14:paraId="16E31998">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16</w:t>
            </w:r>
          </w:p>
        </w:tc>
        <w:tc>
          <w:tcPr>
            <w:tcW w:w="992" w:type="dxa"/>
            <w:vAlign w:val="center"/>
          </w:tcPr>
          <w:p w14:paraId="2E265E67">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13</w:t>
            </w:r>
          </w:p>
        </w:tc>
        <w:tc>
          <w:tcPr>
            <w:tcW w:w="992" w:type="dxa"/>
            <w:vAlign w:val="center"/>
          </w:tcPr>
          <w:p w14:paraId="5BBC9FB4">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-18.8%</w:t>
            </w:r>
          </w:p>
        </w:tc>
      </w:tr>
      <w:tr w14:paraId="4209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1CBD0548">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16</w:t>
            </w:r>
          </w:p>
        </w:tc>
        <w:tc>
          <w:tcPr>
            <w:tcW w:w="4645" w:type="dxa"/>
            <w:vAlign w:val="center"/>
          </w:tcPr>
          <w:p w14:paraId="2B3E8E0C">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房六六置业</w:t>
            </w:r>
            <w:r>
              <w:rPr>
                <w:rFonts w:ascii="Times New Roman" w:hAnsi="Times New Roman" w:eastAsia="仿宋"/>
                <w:color w:val="000000"/>
                <w:sz w:val="22"/>
              </w:rPr>
              <w:t>(</w:t>
            </w:r>
            <w:r>
              <w:rPr>
                <w:rFonts w:hint="eastAsia" w:ascii="Times New Roman" w:hAnsi="Times New Roman" w:eastAsia="仿宋"/>
                <w:color w:val="000000"/>
                <w:sz w:val="22"/>
              </w:rPr>
              <w:t>广州</w:t>
            </w:r>
            <w:r>
              <w:rPr>
                <w:rFonts w:ascii="Times New Roman" w:hAnsi="Times New Roman" w:eastAsia="仿宋"/>
                <w:color w:val="000000"/>
                <w:sz w:val="22"/>
              </w:rPr>
              <w:t>)</w:t>
            </w:r>
            <w:r>
              <w:rPr>
                <w:rFonts w:hint="eastAsia" w:ascii="Times New Roman" w:hAnsi="Times New Roman" w:eastAsia="仿宋"/>
                <w:color w:val="000000"/>
                <w:sz w:val="22"/>
              </w:rPr>
              <w:t>有限公司</w:t>
            </w:r>
          </w:p>
        </w:tc>
        <w:tc>
          <w:tcPr>
            <w:tcW w:w="921" w:type="dxa"/>
            <w:vAlign w:val="center"/>
          </w:tcPr>
          <w:p w14:paraId="5D7ADE4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28</w:t>
            </w:r>
          </w:p>
        </w:tc>
        <w:tc>
          <w:tcPr>
            <w:tcW w:w="993" w:type="dxa"/>
            <w:vAlign w:val="center"/>
          </w:tcPr>
          <w:p w14:paraId="62348DD4">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21</w:t>
            </w:r>
          </w:p>
        </w:tc>
        <w:tc>
          <w:tcPr>
            <w:tcW w:w="992" w:type="dxa"/>
            <w:vAlign w:val="center"/>
          </w:tcPr>
          <w:p w14:paraId="11331F14">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12</w:t>
            </w:r>
          </w:p>
        </w:tc>
        <w:tc>
          <w:tcPr>
            <w:tcW w:w="992" w:type="dxa"/>
            <w:vAlign w:val="center"/>
          </w:tcPr>
          <w:p w14:paraId="5AE4DD9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-42.9%</w:t>
            </w:r>
          </w:p>
        </w:tc>
      </w:tr>
      <w:tr w14:paraId="551E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4692035C">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17</w:t>
            </w:r>
          </w:p>
        </w:tc>
        <w:tc>
          <w:tcPr>
            <w:tcW w:w="4645" w:type="dxa"/>
            <w:vAlign w:val="center"/>
          </w:tcPr>
          <w:p w14:paraId="3AB5BE32">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广州市智富房地产代理有限公司</w:t>
            </w:r>
          </w:p>
        </w:tc>
        <w:tc>
          <w:tcPr>
            <w:tcW w:w="921" w:type="dxa"/>
            <w:vAlign w:val="center"/>
          </w:tcPr>
          <w:p w14:paraId="00FC05C3">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12</w:t>
            </w:r>
          </w:p>
        </w:tc>
        <w:tc>
          <w:tcPr>
            <w:tcW w:w="993" w:type="dxa"/>
            <w:vAlign w:val="center"/>
          </w:tcPr>
          <w:p w14:paraId="557E6E87">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12</w:t>
            </w:r>
          </w:p>
        </w:tc>
        <w:tc>
          <w:tcPr>
            <w:tcW w:w="992" w:type="dxa"/>
            <w:vAlign w:val="center"/>
          </w:tcPr>
          <w:p w14:paraId="6D382553">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12</w:t>
            </w:r>
          </w:p>
        </w:tc>
        <w:tc>
          <w:tcPr>
            <w:tcW w:w="992" w:type="dxa"/>
            <w:vAlign w:val="center"/>
          </w:tcPr>
          <w:p w14:paraId="6D698DB9">
            <w:pPr>
              <w:spacing w:before="120" w:beforeLines="50" w:line="480" w:lineRule="auto"/>
              <w:jc w:val="center"/>
              <w:rPr>
                <w:rFonts w:ascii="Times New Roman" w:hAnsi="Times New Roman" w:eastAsia="仿宋"/>
                <w:color w:val="000000"/>
                <w:sz w:val="22"/>
              </w:rPr>
            </w:pPr>
            <w:r>
              <w:rPr>
                <w:rFonts w:hint="eastAsia" w:ascii="Times New Roman" w:hAnsi="Times New Roman" w:eastAsia="仿宋"/>
                <w:color w:val="000000"/>
                <w:sz w:val="22"/>
              </w:rPr>
              <w:t>持平</w:t>
            </w:r>
          </w:p>
        </w:tc>
      </w:tr>
      <w:tr w14:paraId="150F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5B4EE42F">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18</w:t>
            </w:r>
          </w:p>
        </w:tc>
        <w:tc>
          <w:tcPr>
            <w:tcW w:w="4645" w:type="dxa"/>
            <w:vAlign w:val="center"/>
          </w:tcPr>
          <w:p w14:paraId="4FD179E6">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广州仁辉房地产销售代理有限公司（裕丰地产）</w:t>
            </w:r>
          </w:p>
        </w:tc>
        <w:tc>
          <w:tcPr>
            <w:tcW w:w="921" w:type="dxa"/>
            <w:vAlign w:val="center"/>
          </w:tcPr>
          <w:p w14:paraId="33462A6E">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22</w:t>
            </w:r>
          </w:p>
        </w:tc>
        <w:tc>
          <w:tcPr>
            <w:tcW w:w="993" w:type="dxa"/>
            <w:vAlign w:val="center"/>
          </w:tcPr>
          <w:p w14:paraId="2E9F64F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15</w:t>
            </w:r>
          </w:p>
        </w:tc>
        <w:tc>
          <w:tcPr>
            <w:tcW w:w="992" w:type="dxa"/>
            <w:vAlign w:val="center"/>
          </w:tcPr>
          <w:p w14:paraId="59FCDE04">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10</w:t>
            </w:r>
          </w:p>
        </w:tc>
        <w:tc>
          <w:tcPr>
            <w:tcW w:w="992" w:type="dxa"/>
            <w:vAlign w:val="center"/>
          </w:tcPr>
          <w:p w14:paraId="50B59883">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-33.3%</w:t>
            </w:r>
          </w:p>
        </w:tc>
      </w:tr>
      <w:tr w14:paraId="7CC3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5D8E021E">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19</w:t>
            </w:r>
          </w:p>
        </w:tc>
        <w:tc>
          <w:tcPr>
            <w:tcW w:w="4645" w:type="dxa"/>
            <w:vAlign w:val="center"/>
          </w:tcPr>
          <w:p w14:paraId="2A2B7A41">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广州穗坤房地产代理有限公司</w:t>
            </w:r>
          </w:p>
        </w:tc>
        <w:tc>
          <w:tcPr>
            <w:tcW w:w="921" w:type="dxa"/>
            <w:vAlign w:val="center"/>
          </w:tcPr>
          <w:p w14:paraId="567E5157">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11</w:t>
            </w:r>
          </w:p>
        </w:tc>
        <w:tc>
          <w:tcPr>
            <w:tcW w:w="993" w:type="dxa"/>
            <w:vAlign w:val="center"/>
          </w:tcPr>
          <w:p w14:paraId="6514C2BD">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10</w:t>
            </w:r>
          </w:p>
        </w:tc>
        <w:tc>
          <w:tcPr>
            <w:tcW w:w="992" w:type="dxa"/>
            <w:vAlign w:val="center"/>
          </w:tcPr>
          <w:p w14:paraId="7C995286">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9</w:t>
            </w:r>
          </w:p>
        </w:tc>
        <w:tc>
          <w:tcPr>
            <w:tcW w:w="992" w:type="dxa"/>
            <w:vAlign w:val="center"/>
          </w:tcPr>
          <w:p w14:paraId="77F9C546">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-10.0%</w:t>
            </w:r>
          </w:p>
        </w:tc>
      </w:tr>
      <w:tr w14:paraId="3C7E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8" w:type="dxa"/>
          </w:tcPr>
          <w:p w14:paraId="2FD03372">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20</w:t>
            </w:r>
          </w:p>
        </w:tc>
        <w:tc>
          <w:tcPr>
            <w:tcW w:w="4645" w:type="dxa"/>
            <w:vAlign w:val="center"/>
          </w:tcPr>
          <w:p w14:paraId="3529C917">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广东保润爱家房地产经纪有限公司（保利爱家）</w:t>
            </w:r>
          </w:p>
        </w:tc>
        <w:tc>
          <w:tcPr>
            <w:tcW w:w="921" w:type="dxa"/>
            <w:vAlign w:val="center"/>
          </w:tcPr>
          <w:p w14:paraId="692D420A">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0</w:t>
            </w:r>
          </w:p>
        </w:tc>
        <w:tc>
          <w:tcPr>
            <w:tcW w:w="993" w:type="dxa"/>
            <w:vAlign w:val="center"/>
          </w:tcPr>
          <w:p w14:paraId="088F22FC">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7</w:t>
            </w:r>
          </w:p>
        </w:tc>
        <w:tc>
          <w:tcPr>
            <w:tcW w:w="992" w:type="dxa"/>
            <w:vAlign w:val="center"/>
          </w:tcPr>
          <w:p w14:paraId="6F758BA2">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8</w:t>
            </w:r>
          </w:p>
        </w:tc>
        <w:tc>
          <w:tcPr>
            <w:tcW w:w="992" w:type="dxa"/>
            <w:vAlign w:val="center"/>
          </w:tcPr>
          <w:p w14:paraId="44F37461">
            <w:pPr>
              <w:spacing w:before="120" w:beforeLines="50" w:line="480" w:lineRule="auto"/>
              <w:jc w:val="center"/>
              <w:rPr>
                <w:rFonts w:ascii="Times New Roman" w:hAnsi="Times New Roman" w:eastAsia="仿宋"/>
                <w:color w:val="000000"/>
                <w:sz w:val="22"/>
              </w:rPr>
            </w:pPr>
            <w:r>
              <w:rPr>
                <w:rFonts w:ascii="Times New Roman" w:hAnsi="Times New Roman" w:eastAsia="仿宋"/>
                <w:color w:val="000000"/>
                <w:sz w:val="22"/>
              </w:rPr>
              <w:t>14.3%</w:t>
            </w:r>
          </w:p>
        </w:tc>
      </w:tr>
    </w:tbl>
    <w:p w14:paraId="14260585">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3BB7CDC6">
      <w:pPr>
        <w:jc w:val="center"/>
        <w:rPr>
          <w:rFonts w:ascii="Times New Roman" w:hAnsi="Times New Roman"/>
        </w:rPr>
      </w:pPr>
    </w:p>
    <w:p w14:paraId="0EFAD66B">
      <w:pPr>
        <w:jc w:val="center"/>
        <w:rPr>
          <w:rFonts w:ascii="Times New Roman" w:hAnsi="Times New Roman"/>
          <w:sz w:val="24"/>
        </w:rPr>
      </w:pPr>
      <w:r>
        <w:rPr>
          <w:rFonts w:ascii="Times New Roman" w:hAnsi="Times New Roman"/>
          <w:sz w:val="24"/>
        </w:rPr>
        <w:drawing>
          <wp:inline distT="0" distB="0" distL="0" distR="0">
            <wp:extent cx="5722620" cy="262636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24432" cy="2627054"/>
                    </a:xfrm>
                    <a:prstGeom prst="rect">
                      <a:avLst/>
                    </a:prstGeom>
                    <a:noFill/>
                  </pic:spPr>
                </pic:pic>
              </a:graphicData>
            </a:graphic>
          </wp:inline>
        </w:drawing>
      </w:r>
    </w:p>
    <w:p w14:paraId="6DAC6F1B">
      <w:pPr>
        <w:jc w:val="center"/>
        <w:rPr>
          <w:rFonts w:ascii="Times New Roman" w:hAnsi="Times New Roman"/>
          <w:sz w:val="24"/>
        </w:rPr>
      </w:pPr>
      <w:r>
        <w:rPr>
          <w:rFonts w:hint="eastAsia" w:ascii="Times New Roman" w:hAnsi="Times New Roman"/>
          <w:sz w:val="24"/>
        </w:rPr>
        <w:t>图4</w:t>
      </w:r>
      <w:r>
        <w:rPr>
          <w:rFonts w:ascii="Times New Roman" w:hAnsi="Times New Roman"/>
          <w:sz w:val="24"/>
        </w:rPr>
        <w:t xml:space="preserve">  2020</w:t>
      </w:r>
      <w:r>
        <w:rPr>
          <w:rFonts w:hint="eastAsia" w:ascii="Times New Roman" w:hAnsi="Times New Roman"/>
          <w:sz w:val="24"/>
        </w:rPr>
        <w:t>年</w:t>
      </w:r>
      <w:r>
        <w:rPr>
          <w:rFonts w:ascii="Times New Roman" w:hAnsi="Times New Roman"/>
          <w:sz w:val="24"/>
        </w:rPr>
        <w:t>-2024年</w:t>
      </w:r>
      <w:bookmarkStart w:id="9" w:name="OLE_LINK37"/>
      <w:bookmarkStart w:id="10" w:name="OLE_LINK36"/>
      <w:r>
        <w:rPr>
          <w:rFonts w:ascii="Times New Roman" w:hAnsi="Times New Roman"/>
          <w:sz w:val="24"/>
        </w:rPr>
        <w:t>六家传统大</w:t>
      </w:r>
      <w:r>
        <w:rPr>
          <w:rFonts w:hint="eastAsia" w:ascii="Times New Roman" w:hAnsi="Times New Roman"/>
          <w:sz w:val="24"/>
        </w:rPr>
        <w:t>型中介机构</w:t>
      </w:r>
      <w:bookmarkEnd w:id="9"/>
      <w:bookmarkEnd w:id="10"/>
      <w:r>
        <w:rPr>
          <w:rFonts w:ascii="Times New Roman" w:hAnsi="Times New Roman"/>
          <w:sz w:val="24"/>
        </w:rPr>
        <w:t>备案门店数占全市的比重</w:t>
      </w:r>
    </w:p>
    <w:p w14:paraId="13538283">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61069835">
      <w:pPr>
        <w:spacing w:before="120" w:beforeLines="50"/>
        <w:jc w:val="center"/>
        <w:rPr>
          <w:rFonts w:ascii="Times New Roman" w:hAnsi="Times New Roman" w:eastAsia="仿宋"/>
        </w:rPr>
      </w:pPr>
      <w:r>
        <w:rPr>
          <w:rFonts w:hint="eastAsia" w:ascii="Times New Roman" w:hAnsi="Times New Roman"/>
          <w:sz w:val="24"/>
        </w:rPr>
        <w:t>表2</w:t>
      </w:r>
      <w:r>
        <w:rPr>
          <w:rFonts w:ascii="Times New Roman" w:hAnsi="Times New Roman"/>
          <w:sz w:val="24"/>
        </w:rPr>
        <w:t xml:space="preserve">  2022</w:t>
      </w:r>
      <w:r>
        <w:rPr>
          <w:rFonts w:hint="eastAsia" w:ascii="Times New Roman" w:hAnsi="Times New Roman"/>
          <w:sz w:val="24"/>
        </w:rPr>
        <w:t>年</w:t>
      </w:r>
      <w:r>
        <w:rPr>
          <w:rFonts w:ascii="Times New Roman" w:hAnsi="Times New Roman"/>
          <w:sz w:val="24"/>
        </w:rPr>
        <w:t>-2024</w:t>
      </w:r>
      <w:r>
        <w:rPr>
          <w:rFonts w:hint="eastAsia" w:ascii="Times New Roman" w:hAnsi="Times New Roman"/>
          <w:sz w:val="24"/>
        </w:rPr>
        <w:t>年</w:t>
      </w:r>
      <w:r>
        <w:rPr>
          <w:rFonts w:ascii="Times New Roman" w:hAnsi="Times New Roman"/>
          <w:sz w:val="24"/>
        </w:rPr>
        <w:t>六家传统大</w:t>
      </w:r>
      <w:r>
        <w:rPr>
          <w:rFonts w:hint="eastAsia" w:ascii="Times New Roman" w:hAnsi="Times New Roman"/>
          <w:sz w:val="24"/>
        </w:rPr>
        <w:t>型中介机构备案门店数量</w:t>
      </w:r>
    </w:p>
    <w:tbl>
      <w:tblPr>
        <w:tblStyle w:val="20"/>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4176"/>
        <w:gridCol w:w="1087"/>
        <w:gridCol w:w="992"/>
        <w:gridCol w:w="1134"/>
        <w:gridCol w:w="992"/>
      </w:tblGrid>
      <w:tr w14:paraId="246C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235D9E0">
            <w:pPr>
              <w:spacing w:before="120" w:beforeLines="50" w:line="276" w:lineRule="auto"/>
              <w:jc w:val="center"/>
              <w:rPr>
                <w:rFonts w:ascii="Times New Roman" w:hAnsi="Times New Roman" w:eastAsia="仿宋"/>
                <w:sz w:val="22"/>
              </w:rPr>
            </w:pPr>
            <w:r>
              <w:rPr>
                <w:rFonts w:hint="eastAsia" w:ascii="Times New Roman" w:hAnsi="Times New Roman" w:eastAsia="黑体"/>
                <w:b/>
                <w:bCs/>
                <w:color w:val="000000"/>
                <w:sz w:val="22"/>
              </w:rPr>
              <w:t>序号</w:t>
            </w:r>
          </w:p>
        </w:tc>
        <w:tc>
          <w:tcPr>
            <w:tcW w:w="0" w:type="auto"/>
            <w:vAlign w:val="center"/>
          </w:tcPr>
          <w:p w14:paraId="4A5A592D">
            <w:pPr>
              <w:spacing w:before="120" w:beforeLines="50" w:line="276" w:lineRule="auto"/>
              <w:jc w:val="center"/>
              <w:rPr>
                <w:rFonts w:ascii="Times New Roman" w:hAnsi="Times New Roman" w:eastAsia="仿宋"/>
                <w:sz w:val="22"/>
              </w:rPr>
            </w:pPr>
            <w:r>
              <w:rPr>
                <w:rFonts w:hint="eastAsia" w:ascii="Times New Roman" w:hAnsi="Times New Roman" w:eastAsia="黑体"/>
                <w:b/>
                <w:bCs/>
                <w:color w:val="000000"/>
                <w:sz w:val="22"/>
              </w:rPr>
              <w:t>中介机构名称</w:t>
            </w:r>
          </w:p>
        </w:tc>
        <w:tc>
          <w:tcPr>
            <w:tcW w:w="1087" w:type="dxa"/>
            <w:vAlign w:val="center"/>
          </w:tcPr>
          <w:p w14:paraId="5EED0C71">
            <w:pPr>
              <w:spacing w:before="120" w:beforeLines="50" w:line="276" w:lineRule="auto"/>
              <w:jc w:val="center"/>
              <w:rPr>
                <w:rFonts w:ascii="Times New Roman" w:hAnsi="Times New Roman" w:eastAsia="仿宋"/>
                <w:sz w:val="22"/>
              </w:rPr>
            </w:pPr>
            <w:r>
              <w:rPr>
                <w:rFonts w:ascii="Times New Roman" w:hAnsi="Times New Roman" w:eastAsia="黑体"/>
                <w:b/>
                <w:bCs/>
                <w:color w:val="000000"/>
                <w:sz w:val="22"/>
              </w:rPr>
              <w:t>2022</w:t>
            </w:r>
            <w:r>
              <w:rPr>
                <w:rFonts w:hint="eastAsia" w:ascii="Times New Roman" w:hAnsi="Times New Roman" w:eastAsia="黑体"/>
                <w:b/>
                <w:bCs/>
                <w:color w:val="000000"/>
                <w:sz w:val="22"/>
              </w:rPr>
              <w:t>年</w:t>
            </w:r>
          </w:p>
        </w:tc>
        <w:tc>
          <w:tcPr>
            <w:tcW w:w="992" w:type="dxa"/>
            <w:vAlign w:val="center"/>
          </w:tcPr>
          <w:p w14:paraId="0C3E52F1">
            <w:pPr>
              <w:spacing w:before="120" w:beforeLines="50" w:line="276" w:lineRule="auto"/>
              <w:jc w:val="center"/>
              <w:rPr>
                <w:rFonts w:ascii="Times New Roman" w:hAnsi="Times New Roman" w:eastAsia="仿宋"/>
                <w:sz w:val="22"/>
              </w:rPr>
            </w:pPr>
            <w:r>
              <w:rPr>
                <w:rFonts w:ascii="Times New Roman" w:hAnsi="Times New Roman" w:eastAsia="黑体"/>
                <w:b/>
                <w:bCs/>
                <w:color w:val="000000"/>
                <w:sz w:val="22"/>
              </w:rPr>
              <w:t>2023</w:t>
            </w:r>
            <w:r>
              <w:rPr>
                <w:rFonts w:hint="eastAsia" w:ascii="Times New Roman" w:hAnsi="Times New Roman" w:eastAsia="黑体"/>
                <w:b/>
                <w:bCs/>
                <w:color w:val="000000"/>
                <w:sz w:val="22"/>
              </w:rPr>
              <w:t>年</w:t>
            </w:r>
          </w:p>
        </w:tc>
        <w:tc>
          <w:tcPr>
            <w:tcW w:w="1134" w:type="dxa"/>
            <w:vAlign w:val="center"/>
          </w:tcPr>
          <w:p w14:paraId="6F937222">
            <w:pPr>
              <w:spacing w:before="120" w:beforeLines="50" w:line="276" w:lineRule="auto"/>
              <w:jc w:val="center"/>
              <w:rPr>
                <w:rFonts w:ascii="Times New Roman" w:hAnsi="Times New Roman" w:eastAsia="仿宋"/>
                <w:sz w:val="22"/>
              </w:rPr>
            </w:pPr>
            <w:r>
              <w:rPr>
                <w:rFonts w:ascii="Times New Roman" w:hAnsi="Times New Roman" w:eastAsia="黑体"/>
                <w:b/>
                <w:bCs/>
                <w:color w:val="000000"/>
                <w:sz w:val="22"/>
              </w:rPr>
              <w:t>2024</w:t>
            </w:r>
            <w:r>
              <w:rPr>
                <w:rFonts w:hint="eastAsia" w:ascii="Times New Roman" w:hAnsi="Times New Roman" w:eastAsia="黑体"/>
                <w:b/>
                <w:bCs/>
                <w:color w:val="000000"/>
                <w:sz w:val="22"/>
              </w:rPr>
              <w:t>年</w:t>
            </w:r>
          </w:p>
        </w:tc>
        <w:tc>
          <w:tcPr>
            <w:tcW w:w="992" w:type="dxa"/>
            <w:vAlign w:val="center"/>
          </w:tcPr>
          <w:p w14:paraId="6BA5E44C">
            <w:pPr>
              <w:spacing w:before="120" w:beforeLines="50" w:line="276" w:lineRule="auto"/>
              <w:jc w:val="center"/>
              <w:rPr>
                <w:rFonts w:ascii="Times New Roman" w:hAnsi="Times New Roman" w:eastAsia="黑体"/>
                <w:b/>
                <w:bCs/>
                <w:color w:val="000000"/>
                <w:sz w:val="22"/>
              </w:rPr>
            </w:pPr>
            <w:r>
              <w:rPr>
                <w:rFonts w:hint="eastAsia" w:ascii="Times New Roman" w:hAnsi="Times New Roman" w:eastAsia="黑体"/>
                <w:b/>
                <w:bCs/>
                <w:color w:val="000000"/>
                <w:sz w:val="22"/>
              </w:rPr>
              <w:t>2024年</w:t>
            </w:r>
          </w:p>
          <w:p w14:paraId="25E03CB1">
            <w:pPr>
              <w:spacing w:before="120" w:beforeLines="50" w:line="276" w:lineRule="auto"/>
              <w:jc w:val="center"/>
              <w:rPr>
                <w:rFonts w:ascii="Times New Roman" w:hAnsi="Times New Roman" w:eastAsia="仿宋"/>
                <w:sz w:val="22"/>
              </w:rPr>
            </w:pPr>
            <w:r>
              <w:rPr>
                <w:rFonts w:hint="eastAsia" w:ascii="Times New Roman" w:hAnsi="Times New Roman" w:eastAsia="黑体"/>
                <w:b/>
                <w:bCs/>
                <w:color w:val="000000"/>
                <w:sz w:val="22"/>
              </w:rPr>
              <w:t>同比</w:t>
            </w:r>
          </w:p>
        </w:tc>
      </w:tr>
      <w:tr w14:paraId="5CD2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0" w:type="auto"/>
            <w:vAlign w:val="center"/>
          </w:tcPr>
          <w:p w14:paraId="654DF979">
            <w:pPr>
              <w:spacing w:before="120" w:beforeLines="50" w:line="276" w:lineRule="auto"/>
              <w:jc w:val="center"/>
              <w:rPr>
                <w:rFonts w:ascii="Times New Roman" w:hAnsi="Times New Roman" w:eastAsia="仿宋"/>
                <w:sz w:val="22"/>
              </w:rPr>
            </w:pPr>
            <w:r>
              <w:rPr>
                <w:rFonts w:ascii="Times New Roman" w:hAnsi="Times New Roman" w:eastAsia="仿宋"/>
                <w:color w:val="000000"/>
                <w:sz w:val="22"/>
              </w:rPr>
              <w:t>1</w:t>
            </w:r>
          </w:p>
        </w:tc>
        <w:tc>
          <w:tcPr>
            <w:tcW w:w="0" w:type="auto"/>
            <w:vAlign w:val="center"/>
          </w:tcPr>
          <w:p w14:paraId="1C880DBF">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广州裕丰咨询顾问有限公司（裕丰地产）</w:t>
            </w:r>
          </w:p>
        </w:tc>
        <w:tc>
          <w:tcPr>
            <w:tcW w:w="1087" w:type="dxa"/>
            <w:vAlign w:val="center"/>
          </w:tcPr>
          <w:p w14:paraId="4E5751A5">
            <w:pPr>
              <w:spacing w:before="120" w:beforeLines="50" w:line="276" w:lineRule="auto"/>
              <w:jc w:val="center"/>
              <w:rPr>
                <w:rFonts w:ascii="Times New Roman" w:hAnsi="Times New Roman" w:eastAsia="仿宋"/>
              </w:rPr>
            </w:pPr>
            <w:r>
              <w:rPr>
                <w:rFonts w:ascii="Times New Roman" w:hAnsi="Times New Roman" w:eastAsia="仿宋"/>
                <w:color w:val="000000"/>
              </w:rPr>
              <w:t>419</w:t>
            </w:r>
          </w:p>
        </w:tc>
        <w:tc>
          <w:tcPr>
            <w:tcW w:w="992" w:type="dxa"/>
            <w:vAlign w:val="center"/>
          </w:tcPr>
          <w:p w14:paraId="7FE510DD">
            <w:pPr>
              <w:spacing w:before="120" w:beforeLines="50" w:line="276" w:lineRule="auto"/>
              <w:jc w:val="center"/>
              <w:rPr>
                <w:rFonts w:ascii="Times New Roman" w:hAnsi="Times New Roman" w:eastAsia="仿宋"/>
              </w:rPr>
            </w:pPr>
            <w:r>
              <w:rPr>
                <w:rFonts w:ascii="Times New Roman" w:hAnsi="Times New Roman" w:eastAsia="仿宋"/>
                <w:color w:val="000000"/>
              </w:rPr>
              <w:t>357</w:t>
            </w:r>
          </w:p>
        </w:tc>
        <w:tc>
          <w:tcPr>
            <w:tcW w:w="1134" w:type="dxa"/>
            <w:vAlign w:val="center"/>
          </w:tcPr>
          <w:p w14:paraId="533F8E44">
            <w:pPr>
              <w:spacing w:before="120" w:beforeLines="50" w:line="276" w:lineRule="auto"/>
              <w:jc w:val="center"/>
              <w:rPr>
                <w:rFonts w:ascii="Times New Roman" w:hAnsi="Times New Roman" w:eastAsia="仿宋"/>
              </w:rPr>
            </w:pPr>
            <w:r>
              <w:rPr>
                <w:rFonts w:ascii="Times New Roman" w:hAnsi="Times New Roman" w:eastAsia="仿宋"/>
                <w:color w:val="000000"/>
              </w:rPr>
              <w:t>239</w:t>
            </w:r>
          </w:p>
        </w:tc>
        <w:tc>
          <w:tcPr>
            <w:tcW w:w="992" w:type="dxa"/>
            <w:vAlign w:val="center"/>
          </w:tcPr>
          <w:p w14:paraId="1C8AFDF7">
            <w:pPr>
              <w:spacing w:before="120" w:beforeLines="50" w:line="276" w:lineRule="auto"/>
              <w:jc w:val="center"/>
              <w:rPr>
                <w:rFonts w:ascii="Times New Roman" w:hAnsi="Times New Roman" w:eastAsia="仿宋"/>
              </w:rPr>
            </w:pPr>
            <w:r>
              <w:rPr>
                <w:rFonts w:ascii="Times New Roman" w:hAnsi="Times New Roman" w:eastAsia="仿宋"/>
                <w:color w:val="000000"/>
              </w:rPr>
              <w:t>-33.1%</w:t>
            </w:r>
          </w:p>
        </w:tc>
      </w:tr>
      <w:tr w14:paraId="2E25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0" w:type="auto"/>
            <w:vAlign w:val="center"/>
          </w:tcPr>
          <w:p w14:paraId="0759E3FE">
            <w:pPr>
              <w:spacing w:before="120" w:beforeLines="50" w:line="276" w:lineRule="auto"/>
              <w:jc w:val="center"/>
              <w:rPr>
                <w:rFonts w:ascii="Times New Roman" w:hAnsi="Times New Roman" w:eastAsia="仿宋"/>
                <w:sz w:val="22"/>
              </w:rPr>
            </w:pPr>
            <w:r>
              <w:rPr>
                <w:rFonts w:ascii="Times New Roman" w:hAnsi="Times New Roman" w:eastAsia="仿宋"/>
                <w:color w:val="000000"/>
                <w:sz w:val="22"/>
              </w:rPr>
              <w:t>2</w:t>
            </w:r>
          </w:p>
        </w:tc>
        <w:tc>
          <w:tcPr>
            <w:tcW w:w="0" w:type="auto"/>
            <w:vAlign w:val="center"/>
          </w:tcPr>
          <w:p w14:paraId="6A559B3C">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广东链家房地产经纪有限公司</w:t>
            </w:r>
          </w:p>
        </w:tc>
        <w:tc>
          <w:tcPr>
            <w:tcW w:w="1087" w:type="dxa"/>
            <w:vAlign w:val="center"/>
          </w:tcPr>
          <w:p w14:paraId="66B99D33">
            <w:pPr>
              <w:spacing w:before="120" w:beforeLines="50" w:line="276" w:lineRule="auto"/>
              <w:jc w:val="center"/>
              <w:rPr>
                <w:rFonts w:ascii="Times New Roman" w:hAnsi="Times New Roman" w:eastAsia="仿宋"/>
              </w:rPr>
            </w:pPr>
            <w:r>
              <w:rPr>
                <w:rFonts w:ascii="Times New Roman" w:hAnsi="Times New Roman" w:eastAsia="仿宋"/>
                <w:color w:val="000000"/>
              </w:rPr>
              <w:t>288</w:t>
            </w:r>
          </w:p>
        </w:tc>
        <w:tc>
          <w:tcPr>
            <w:tcW w:w="992" w:type="dxa"/>
            <w:vAlign w:val="center"/>
          </w:tcPr>
          <w:p w14:paraId="0A215577">
            <w:pPr>
              <w:spacing w:before="120" w:beforeLines="50" w:line="480" w:lineRule="auto"/>
              <w:jc w:val="center"/>
              <w:rPr>
                <w:rFonts w:ascii="Times New Roman" w:hAnsi="Times New Roman" w:eastAsia="仿宋"/>
              </w:rPr>
            </w:pPr>
            <w:r>
              <w:rPr>
                <w:rFonts w:ascii="Times New Roman" w:hAnsi="Times New Roman" w:eastAsia="仿宋"/>
                <w:color w:val="000000"/>
                <w:sz w:val="22"/>
              </w:rPr>
              <w:t>226</w:t>
            </w:r>
          </w:p>
        </w:tc>
        <w:tc>
          <w:tcPr>
            <w:tcW w:w="1134" w:type="dxa"/>
            <w:vAlign w:val="center"/>
          </w:tcPr>
          <w:p w14:paraId="1004D692">
            <w:pPr>
              <w:spacing w:before="120" w:beforeLines="50" w:line="480" w:lineRule="auto"/>
              <w:jc w:val="center"/>
              <w:rPr>
                <w:rFonts w:ascii="Times New Roman" w:hAnsi="Times New Roman" w:eastAsia="仿宋"/>
              </w:rPr>
            </w:pPr>
            <w:r>
              <w:rPr>
                <w:rFonts w:ascii="Times New Roman" w:hAnsi="Times New Roman" w:eastAsia="仿宋"/>
                <w:color w:val="000000"/>
                <w:sz w:val="22"/>
              </w:rPr>
              <w:t>212</w:t>
            </w:r>
          </w:p>
        </w:tc>
        <w:tc>
          <w:tcPr>
            <w:tcW w:w="992" w:type="dxa"/>
            <w:vAlign w:val="center"/>
          </w:tcPr>
          <w:p w14:paraId="7AFB2562">
            <w:pPr>
              <w:spacing w:before="120" w:beforeLines="50" w:line="480" w:lineRule="auto"/>
              <w:jc w:val="center"/>
              <w:rPr>
                <w:rFonts w:ascii="Times New Roman" w:hAnsi="Times New Roman" w:eastAsia="仿宋"/>
              </w:rPr>
            </w:pPr>
            <w:r>
              <w:rPr>
                <w:rFonts w:ascii="Times New Roman" w:hAnsi="Times New Roman" w:eastAsia="仿宋"/>
                <w:color w:val="000000"/>
                <w:sz w:val="22"/>
              </w:rPr>
              <w:t>-6.2%</w:t>
            </w:r>
          </w:p>
        </w:tc>
      </w:tr>
      <w:tr w14:paraId="40F6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0" w:type="auto"/>
            <w:vAlign w:val="center"/>
          </w:tcPr>
          <w:p w14:paraId="758FA39C">
            <w:pPr>
              <w:spacing w:before="120" w:beforeLines="50" w:line="276" w:lineRule="auto"/>
              <w:jc w:val="center"/>
              <w:rPr>
                <w:rFonts w:ascii="Times New Roman" w:hAnsi="Times New Roman" w:eastAsia="仿宋"/>
                <w:sz w:val="22"/>
              </w:rPr>
            </w:pPr>
            <w:r>
              <w:rPr>
                <w:rFonts w:ascii="Times New Roman" w:hAnsi="Times New Roman" w:eastAsia="仿宋"/>
                <w:color w:val="000000"/>
                <w:sz w:val="22"/>
              </w:rPr>
              <w:t>3</w:t>
            </w:r>
          </w:p>
        </w:tc>
        <w:tc>
          <w:tcPr>
            <w:tcW w:w="0" w:type="auto"/>
            <w:vAlign w:val="center"/>
          </w:tcPr>
          <w:p w14:paraId="151C683A">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广州市乐有家房产经纪有限公司</w:t>
            </w:r>
          </w:p>
        </w:tc>
        <w:tc>
          <w:tcPr>
            <w:tcW w:w="1087" w:type="dxa"/>
            <w:vAlign w:val="center"/>
          </w:tcPr>
          <w:p w14:paraId="530788A4">
            <w:pPr>
              <w:spacing w:before="120" w:beforeLines="50" w:line="276" w:lineRule="auto"/>
              <w:jc w:val="center"/>
              <w:rPr>
                <w:rFonts w:ascii="Times New Roman" w:hAnsi="Times New Roman" w:eastAsia="仿宋"/>
              </w:rPr>
            </w:pPr>
            <w:r>
              <w:rPr>
                <w:rFonts w:ascii="Times New Roman" w:hAnsi="Times New Roman" w:eastAsia="仿宋"/>
                <w:color w:val="000000"/>
              </w:rPr>
              <w:t>185</w:t>
            </w:r>
          </w:p>
        </w:tc>
        <w:tc>
          <w:tcPr>
            <w:tcW w:w="992" w:type="dxa"/>
            <w:vAlign w:val="center"/>
          </w:tcPr>
          <w:p w14:paraId="383FA50A">
            <w:pPr>
              <w:spacing w:before="120" w:beforeLines="50" w:line="276" w:lineRule="auto"/>
              <w:jc w:val="center"/>
              <w:rPr>
                <w:rFonts w:ascii="Times New Roman" w:hAnsi="Times New Roman" w:eastAsia="仿宋"/>
              </w:rPr>
            </w:pPr>
            <w:r>
              <w:rPr>
                <w:rFonts w:ascii="Times New Roman" w:hAnsi="Times New Roman" w:eastAsia="仿宋"/>
                <w:color w:val="000000"/>
              </w:rPr>
              <w:t>93</w:t>
            </w:r>
          </w:p>
        </w:tc>
        <w:tc>
          <w:tcPr>
            <w:tcW w:w="1134" w:type="dxa"/>
            <w:vAlign w:val="center"/>
          </w:tcPr>
          <w:p w14:paraId="258195B7">
            <w:pPr>
              <w:spacing w:before="120" w:beforeLines="50" w:line="276" w:lineRule="auto"/>
              <w:jc w:val="center"/>
              <w:rPr>
                <w:rFonts w:ascii="Times New Roman" w:hAnsi="Times New Roman" w:eastAsia="仿宋"/>
              </w:rPr>
            </w:pPr>
            <w:r>
              <w:rPr>
                <w:rFonts w:ascii="Times New Roman" w:hAnsi="Times New Roman" w:eastAsia="仿宋"/>
                <w:color w:val="000000"/>
              </w:rPr>
              <w:t>47</w:t>
            </w:r>
          </w:p>
        </w:tc>
        <w:tc>
          <w:tcPr>
            <w:tcW w:w="992" w:type="dxa"/>
            <w:vAlign w:val="center"/>
          </w:tcPr>
          <w:p w14:paraId="6673301A">
            <w:pPr>
              <w:spacing w:before="120" w:beforeLines="50" w:line="276" w:lineRule="auto"/>
              <w:jc w:val="center"/>
              <w:rPr>
                <w:rFonts w:ascii="Times New Roman" w:hAnsi="Times New Roman" w:eastAsia="仿宋"/>
              </w:rPr>
            </w:pPr>
            <w:r>
              <w:rPr>
                <w:rFonts w:ascii="Times New Roman" w:hAnsi="Times New Roman" w:eastAsia="仿宋"/>
                <w:color w:val="000000"/>
              </w:rPr>
              <w:t>-49.5%</w:t>
            </w:r>
          </w:p>
        </w:tc>
      </w:tr>
      <w:tr w14:paraId="29FA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0" w:type="auto"/>
            <w:vAlign w:val="center"/>
          </w:tcPr>
          <w:p w14:paraId="4454EB54">
            <w:pPr>
              <w:spacing w:before="120" w:beforeLines="50" w:line="276" w:lineRule="auto"/>
              <w:jc w:val="center"/>
              <w:rPr>
                <w:rFonts w:ascii="Times New Roman" w:hAnsi="Times New Roman" w:eastAsia="仿宋"/>
                <w:sz w:val="22"/>
              </w:rPr>
            </w:pPr>
            <w:r>
              <w:rPr>
                <w:rFonts w:ascii="Times New Roman" w:hAnsi="Times New Roman" w:eastAsia="仿宋"/>
                <w:color w:val="000000"/>
                <w:sz w:val="22"/>
              </w:rPr>
              <w:t>4</w:t>
            </w:r>
          </w:p>
        </w:tc>
        <w:tc>
          <w:tcPr>
            <w:tcW w:w="0" w:type="auto"/>
            <w:vAlign w:val="center"/>
          </w:tcPr>
          <w:p w14:paraId="11F1EC26">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广东合富房地产置业有限公司</w:t>
            </w:r>
          </w:p>
        </w:tc>
        <w:tc>
          <w:tcPr>
            <w:tcW w:w="1087" w:type="dxa"/>
            <w:vAlign w:val="center"/>
          </w:tcPr>
          <w:p w14:paraId="753A1753">
            <w:pPr>
              <w:spacing w:before="120" w:beforeLines="50" w:line="276" w:lineRule="auto"/>
              <w:jc w:val="center"/>
              <w:rPr>
                <w:rFonts w:ascii="Times New Roman" w:hAnsi="Times New Roman" w:eastAsia="仿宋"/>
              </w:rPr>
            </w:pPr>
            <w:r>
              <w:rPr>
                <w:rFonts w:ascii="Times New Roman" w:hAnsi="Times New Roman" w:eastAsia="仿宋"/>
                <w:color w:val="000000"/>
              </w:rPr>
              <w:t>162</w:t>
            </w:r>
          </w:p>
        </w:tc>
        <w:tc>
          <w:tcPr>
            <w:tcW w:w="992" w:type="dxa"/>
            <w:vAlign w:val="center"/>
          </w:tcPr>
          <w:p w14:paraId="7762384A">
            <w:pPr>
              <w:spacing w:before="120" w:beforeLines="50" w:line="276" w:lineRule="auto"/>
              <w:jc w:val="center"/>
              <w:rPr>
                <w:rFonts w:ascii="Times New Roman" w:hAnsi="Times New Roman" w:eastAsia="仿宋"/>
              </w:rPr>
            </w:pPr>
            <w:r>
              <w:rPr>
                <w:rFonts w:ascii="Times New Roman" w:hAnsi="Times New Roman" w:eastAsia="仿宋"/>
                <w:color w:val="000000"/>
              </w:rPr>
              <w:t>129</w:t>
            </w:r>
          </w:p>
        </w:tc>
        <w:tc>
          <w:tcPr>
            <w:tcW w:w="1134" w:type="dxa"/>
            <w:vAlign w:val="center"/>
          </w:tcPr>
          <w:p w14:paraId="2AAE0E4A">
            <w:pPr>
              <w:spacing w:before="120" w:beforeLines="50" w:line="276" w:lineRule="auto"/>
              <w:jc w:val="center"/>
              <w:rPr>
                <w:rFonts w:ascii="Times New Roman" w:hAnsi="Times New Roman" w:eastAsia="仿宋"/>
              </w:rPr>
            </w:pPr>
            <w:r>
              <w:rPr>
                <w:rFonts w:ascii="Times New Roman" w:hAnsi="Times New Roman" w:eastAsia="仿宋"/>
                <w:color w:val="000000"/>
              </w:rPr>
              <w:t>97</w:t>
            </w:r>
          </w:p>
        </w:tc>
        <w:tc>
          <w:tcPr>
            <w:tcW w:w="992" w:type="dxa"/>
            <w:vAlign w:val="center"/>
          </w:tcPr>
          <w:p w14:paraId="7A6D634D">
            <w:pPr>
              <w:spacing w:before="120" w:beforeLines="50" w:line="276" w:lineRule="auto"/>
              <w:jc w:val="center"/>
              <w:rPr>
                <w:rFonts w:ascii="Times New Roman" w:hAnsi="Times New Roman" w:eastAsia="仿宋"/>
              </w:rPr>
            </w:pPr>
            <w:r>
              <w:rPr>
                <w:rFonts w:ascii="Times New Roman" w:hAnsi="Times New Roman" w:eastAsia="仿宋"/>
                <w:color w:val="000000"/>
              </w:rPr>
              <w:t>-24.8%</w:t>
            </w:r>
          </w:p>
        </w:tc>
      </w:tr>
      <w:tr w14:paraId="2AC7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0" w:type="auto"/>
            <w:vAlign w:val="center"/>
          </w:tcPr>
          <w:p w14:paraId="47029BF9">
            <w:pPr>
              <w:spacing w:before="120" w:beforeLines="50" w:line="276" w:lineRule="auto"/>
              <w:jc w:val="center"/>
              <w:rPr>
                <w:rFonts w:ascii="Times New Roman" w:hAnsi="Times New Roman" w:eastAsia="仿宋"/>
                <w:sz w:val="22"/>
              </w:rPr>
            </w:pPr>
            <w:r>
              <w:rPr>
                <w:rFonts w:ascii="Times New Roman" w:hAnsi="Times New Roman" w:eastAsia="仿宋"/>
                <w:color w:val="000000"/>
                <w:sz w:val="22"/>
              </w:rPr>
              <w:t>5</w:t>
            </w:r>
          </w:p>
        </w:tc>
        <w:tc>
          <w:tcPr>
            <w:tcW w:w="0" w:type="auto"/>
            <w:vAlign w:val="center"/>
          </w:tcPr>
          <w:p w14:paraId="2B67524B">
            <w:pPr>
              <w:spacing w:before="120" w:beforeLines="50" w:line="276" w:lineRule="auto"/>
              <w:jc w:val="center"/>
              <w:rPr>
                <w:rFonts w:ascii="Times New Roman" w:hAnsi="Times New Roman" w:eastAsia="仿宋"/>
                <w:sz w:val="22"/>
              </w:rPr>
            </w:pPr>
            <w:r>
              <w:rPr>
                <w:rFonts w:hint="eastAsia" w:ascii="Times New Roman" w:hAnsi="Times New Roman" w:eastAsia="仿宋"/>
                <w:color w:val="000000"/>
                <w:sz w:val="22"/>
              </w:rPr>
              <w:t>广东中原地产代理有限公司</w:t>
            </w:r>
          </w:p>
        </w:tc>
        <w:tc>
          <w:tcPr>
            <w:tcW w:w="1087" w:type="dxa"/>
            <w:vAlign w:val="center"/>
          </w:tcPr>
          <w:p w14:paraId="3907DE9B">
            <w:pPr>
              <w:spacing w:before="120" w:beforeLines="50" w:line="276" w:lineRule="auto"/>
              <w:jc w:val="center"/>
              <w:rPr>
                <w:rFonts w:ascii="Times New Roman" w:hAnsi="Times New Roman" w:eastAsia="仿宋"/>
              </w:rPr>
            </w:pPr>
            <w:r>
              <w:rPr>
                <w:rFonts w:ascii="Times New Roman" w:hAnsi="Times New Roman" w:eastAsia="仿宋"/>
                <w:color w:val="000000"/>
              </w:rPr>
              <w:t>81</w:t>
            </w:r>
          </w:p>
        </w:tc>
        <w:tc>
          <w:tcPr>
            <w:tcW w:w="992" w:type="dxa"/>
            <w:vAlign w:val="center"/>
          </w:tcPr>
          <w:p w14:paraId="60E9BED4">
            <w:pPr>
              <w:spacing w:before="120" w:beforeLines="50" w:line="276" w:lineRule="auto"/>
              <w:jc w:val="center"/>
              <w:rPr>
                <w:rFonts w:ascii="Times New Roman" w:hAnsi="Times New Roman" w:eastAsia="仿宋"/>
              </w:rPr>
            </w:pPr>
            <w:r>
              <w:rPr>
                <w:rFonts w:ascii="Times New Roman" w:hAnsi="Times New Roman" w:eastAsia="仿宋"/>
                <w:color w:val="000000"/>
              </w:rPr>
              <w:t>70</w:t>
            </w:r>
          </w:p>
        </w:tc>
        <w:tc>
          <w:tcPr>
            <w:tcW w:w="1134" w:type="dxa"/>
            <w:vAlign w:val="center"/>
          </w:tcPr>
          <w:p w14:paraId="2083CC35">
            <w:pPr>
              <w:spacing w:before="120" w:beforeLines="50" w:line="276" w:lineRule="auto"/>
              <w:jc w:val="center"/>
              <w:rPr>
                <w:rFonts w:ascii="Times New Roman" w:hAnsi="Times New Roman" w:eastAsia="仿宋"/>
              </w:rPr>
            </w:pPr>
            <w:r>
              <w:rPr>
                <w:rFonts w:ascii="Times New Roman" w:hAnsi="Times New Roman" w:eastAsia="仿宋"/>
                <w:color w:val="000000"/>
              </w:rPr>
              <w:t>60</w:t>
            </w:r>
          </w:p>
        </w:tc>
        <w:tc>
          <w:tcPr>
            <w:tcW w:w="992" w:type="dxa"/>
            <w:vAlign w:val="center"/>
          </w:tcPr>
          <w:p w14:paraId="16786975">
            <w:pPr>
              <w:spacing w:before="120" w:beforeLines="50" w:line="276" w:lineRule="auto"/>
              <w:jc w:val="center"/>
              <w:rPr>
                <w:rFonts w:ascii="Times New Roman" w:hAnsi="Times New Roman" w:eastAsia="仿宋"/>
              </w:rPr>
            </w:pPr>
            <w:r>
              <w:rPr>
                <w:rFonts w:ascii="Times New Roman" w:hAnsi="Times New Roman" w:eastAsia="仿宋"/>
                <w:color w:val="000000"/>
              </w:rPr>
              <w:t>-14.3%</w:t>
            </w:r>
          </w:p>
        </w:tc>
      </w:tr>
      <w:tr w14:paraId="7B90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0" w:type="auto"/>
            <w:vAlign w:val="center"/>
          </w:tcPr>
          <w:p w14:paraId="3AB71990">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6</w:t>
            </w:r>
          </w:p>
        </w:tc>
        <w:tc>
          <w:tcPr>
            <w:tcW w:w="0" w:type="auto"/>
          </w:tcPr>
          <w:p w14:paraId="5B198C80">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广东德诚行地产集团有限公司（德诚行）</w:t>
            </w:r>
          </w:p>
        </w:tc>
        <w:tc>
          <w:tcPr>
            <w:tcW w:w="1087" w:type="dxa"/>
          </w:tcPr>
          <w:p w14:paraId="1E1F2000">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68</w:t>
            </w:r>
          </w:p>
        </w:tc>
        <w:tc>
          <w:tcPr>
            <w:tcW w:w="992" w:type="dxa"/>
          </w:tcPr>
          <w:p w14:paraId="3F752704">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48</w:t>
            </w:r>
          </w:p>
        </w:tc>
        <w:tc>
          <w:tcPr>
            <w:tcW w:w="1134" w:type="dxa"/>
          </w:tcPr>
          <w:p w14:paraId="36207C18">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18</w:t>
            </w:r>
          </w:p>
        </w:tc>
        <w:tc>
          <w:tcPr>
            <w:tcW w:w="992" w:type="dxa"/>
          </w:tcPr>
          <w:p w14:paraId="6AA8893A">
            <w:pPr>
              <w:spacing w:before="120" w:beforeLines="50" w:line="276" w:lineRule="auto"/>
              <w:jc w:val="center"/>
              <w:rPr>
                <w:rFonts w:ascii="Times New Roman" w:hAnsi="Times New Roman" w:eastAsia="仿宋"/>
                <w:color w:val="000000"/>
                <w:sz w:val="22"/>
              </w:rPr>
            </w:pPr>
            <w:r>
              <w:rPr>
                <w:rFonts w:hint="eastAsia" w:ascii="Times New Roman" w:hAnsi="Times New Roman" w:eastAsia="仿宋"/>
                <w:color w:val="000000"/>
                <w:sz w:val="22"/>
              </w:rPr>
              <w:t>-62.5%</w:t>
            </w:r>
          </w:p>
        </w:tc>
      </w:tr>
    </w:tbl>
    <w:p w14:paraId="30EE0094">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eastAsia="仿宋"/>
        </w:rPr>
        <w:t xml:space="preserve">                                           </w:t>
      </w:r>
      <w:r>
        <w:rPr>
          <w:rFonts w:ascii="Times New Roman" w:hAnsi="Times New Roman"/>
          <w:color w:val="000000" w:themeColor="text1"/>
          <w:szCs w:val="21"/>
          <w14:textFill>
            <w14:solidFill>
              <w14:schemeClr w14:val="tx1"/>
            </w14:solidFill>
          </w14:textFill>
        </w:rPr>
        <w:t>数据来源：广州市房地产中介协会</w:t>
      </w:r>
    </w:p>
    <w:bookmarkEnd w:id="7"/>
    <w:bookmarkEnd w:id="8"/>
    <w:p w14:paraId="4F9F9B4F">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w:t>
      </w:r>
      <w:r>
        <w:rPr>
          <w:rFonts w:hint="eastAsia" w:ascii="Times New Roman" w:hAnsi="Times New Roman" w:eastAsia="仿宋_GB2312"/>
          <w:color w:val="000000" w:themeColor="text1"/>
          <w:kern w:val="0"/>
          <w:sz w:val="32"/>
          <w:szCs w:val="32"/>
          <w14:textFill>
            <w14:solidFill>
              <w14:schemeClr w14:val="tx1"/>
            </w14:solidFill>
          </w14:textFill>
        </w:rPr>
        <w:t>末</w:t>
      </w:r>
      <w:r>
        <w:rPr>
          <w:rFonts w:ascii="Times New Roman" w:hAnsi="Times New Roman" w:eastAsia="仿宋_GB2312"/>
          <w:color w:val="000000" w:themeColor="text1"/>
          <w:kern w:val="0"/>
          <w:sz w:val="32"/>
          <w:szCs w:val="32"/>
          <w:lang w:val="zh-TW"/>
          <w14:textFill>
            <w14:solidFill>
              <w14:schemeClr w14:val="tx1"/>
            </w14:solidFill>
          </w14:textFill>
        </w:rPr>
        <w:t>记录在职</w:t>
      </w:r>
      <w:r>
        <w:rPr>
          <w:rFonts w:ascii="Times New Roman" w:hAnsi="Times New Roman" w:eastAsia="仿宋_GB2312"/>
          <w:color w:val="000000" w:themeColor="text1"/>
          <w:kern w:val="0"/>
          <w:sz w:val="32"/>
          <w:szCs w:val="32"/>
          <w:vertAlign w:val="superscript"/>
          <w:lang w:val="zh-TW"/>
          <w14:textFill>
            <w14:solidFill>
              <w14:schemeClr w14:val="tx1"/>
            </w14:solidFill>
          </w14:textFill>
        </w:rPr>
        <w:footnoteReference w:id="7"/>
      </w:r>
      <w:r>
        <w:rPr>
          <w:rFonts w:ascii="Times New Roman" w:hAnsi="Times New Roman" w:eastAsia="仿宋_GB2312"/>
          <w:color w:val="000000" w:themeColor="text1"/>
          <w:kern w:val="0"/>
          <w:sz w:val="32"/>
          <w:szCs w:val="32"/>
          <w:lang w:val="zh-TW"/>
          <w14:textFill>
            <w14:solidFill>
              <w14:schemeClr w14:val="tx1"/>
            </w14:solidFill>
          </w14:textFill>
        </w:rPr>
        <w:t>的从业人员为33714人，</w:t>
      </w:r>
      <w:r>
        <w:rPr>
          <w:rFonts w:hint="eastAsia" w:ascii="Times New Roman" w:hAnsi="Times New Roman" w:eastAsia="仿宋_GB2312"/>
          <w:color w:val="000000" w:themeColor="text1"/>
          <w:kern w:val="0"/>
          <w:sz w:val="32"/>
          <w:szCs w:val="32"/>
          <w:lang w:val="zh-TW"/>
          <w14:textFill>
            <w14:solidFill>
              <w14:schemeClr w14:val="tx1"/>
            </w14:solidFill>
          </w14:textFill>
        </w:rPr>
        <w:t>较</w:t>
      </w:r>
      <w:r>
        <w:rPr>
          <w:rFonts w:ascii="Times New Roman" w:hAnsi="Times New Roman" w:eastAsia="仿宋_GB2312"/>
          <w:color w:val="000000" w:themeColor="text1"/>
          <w:kern w:val="0"/>
          <w:sz w:val="32"/>
          <w:szCs w:val="32"/>
          <w:lang w:val="zh-TW"/>
          <w14:textFill>
            <w14:solidFill>
              <w14:schemeClr w14:val="tx1"/>
            </w14:solidFill>
          </w14:textFill>
        </w:rPr>
        <w:t>2023年</w:t>
      </w:r>
      <w:r>
        <w:rPr>
          <w:rFonts w:hint="eastAsia" w:ascii="Times New Roman" w:hAnsi="Times New Roman" w:eastAsia="仿宋_GB2312"/>
          <w:color w:val="000000" w:themeColor="text1"/>
          <w:kern w:val="0"/>
          <w:sz w:val="32"/>
          <w:szCs w:val="32"/>
          <w14:textFill>
            <w14:solidFill>
              <w14:schemeClr w14:val="tx1"/>
            </w14:solidFill>
          </w14:textFill>
        </w:rPr>
        <w:t>末</w:t>
      </w:r>
      <w:r>
        <w:rPr>
          <w:rFonts w:ascii="Times New Roman" w:hAnsi="Times New Roman" w:eastAsia="仿宋_GB2312"/>
          <w:color w:val="000000" w:themeColor="text1"/>
          <w:kern w:val="0"/>
          <w:sz w:val="32"/>
          <w:szCs w:val="32"/>
          <w:lang w:val="zh-TW"/>
          <w14:textFill>
            <w14:solidFill>
              <w14:schemeClr w14:val="tx1"/>
            </w14:solidFill>
          </w14:textFill>
        </w:rPr>
        <w:t>减少1105人（见图</w:t>
      </w:r>
      <w:r>
        <w:rPr>
          <w:rFonts w:hint="eastAsia" w:ascii="Times New Roman" w:hAnsi="Times New Roman" w:eastAsia="仿宋_GB2312"/>
          <w:color w:val="000000" w:themeColor="text1"/>
          <w:kern w:val="0"/>
          <w:sz w:val="32"/>
          <w:szCs w:val="32"/>
          <w14:textFill>
            <w14:solidFill>
              <w14:schemeClr w14:val="tx1"/>
            </w14:solidFill>
          </w14:textFill>
        </w:rPr>
        <w:t>5</w:t>
      </w:r>
      <w:r>
        <w:rPr>
          <w:rFonts w:ascii="Times New Roman" w:hAnsi="Times New Roman" w:eastAsia="仿宋_GB2312"/>
          <w:color w:val="000000" w:themeColor="text1"/>
          <w:kern w:val="0"/>
          <w:sz w:val="32"/>
          <w:szCs w:val="32"/>
          <w:lang w:val="zh-TW"/>
          <w14:textFill>
            <w14:solidFill>
              <w14:schemeClr w14:val="tx1"/>
            </w14:solidFill>
          </w14:textFill>
        </w:rPr>
        <w:t>）。</w:t>
      </w:r>
    </w:p>
    <w:p w14:paraId="615926B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2024年全市记录在职</w:t>
      </w:r>
      <w:r>
        <w:rPr>
          <w:rFonts w:hint="eastAsia" w:ascii="Times New Roman" w:hAnsi="Times New Roman" w:eastAsia="仿宋_GB2312"/>
          <w:color w:val="000000" w:themeColor="text1"/>
          <w:kern w:val="0"/>
          <w:sz w:val="32"/>
          <w:szCs w:val="32"/>
          <w14:textFill>
            <w14:solidFill>
              <w14:schemeClr w14:val="tx1"/>
            </w14:solidFill>
          </w14:textFill>
        </w:rPr>
        <w:t>的</w:t>
      </w:r>
      <w:r>
        <w:rPr>
          <w:rFonts w:ascii="Times New Roman" w:hAnsi="Times New Roman" w:eastAsia="仿宋_GB2312"/>
          <w:color w:val="000000" w:themeColor="text1"/>
          <w:kern w:val="0"/>
          <w:sz w:val="32"/>
          <w:szCs w:val="32"/>
          <w:lang w:val="zh-TW"/>
          <w14:textFill>
            <w14:solidFill>
              <w14:schemeClr w14:val="tx1"/>
            </w14:solidFill>
          </w14:textFill>
        </w:rPr>
        <w:t>从业人员平均年龄为35.7岁，同比2023年增加1岁。记录在职</w:t>
      </w:r>
      <w:r>
        <w:rPr>
          <w:rFonts w:ascii="Times New Roman" w:hAnsi="Times New Roman" w:eastAsia="仿宋_GB2312"/>
          <w:color w:val="000000" w:themeColor="text1"/>
          <w:kern w:val="0"/>
          <w:sz w:val="32"/>
          <w:szCs w:val="32"/>
          <w14:textFill>
            <w14:solidFill>
              <w14:schemeClr w14:val="tx1"/>
            </w14:solidFill>
          </w14:textFill>
        </w:rPr>
        <w:t>的</w:t>
      </w:r>
      <w:r>
        <w:rPr>
          <w:rFonts w:ascii="Times New Roman" w:hAnsi="Times New Roman" w:eastAsia="仿宋_GB2312"/>
          <w:color w:val="000000" w:themeColor="text1"/>
          <w:kern w:val="0"/>
          <w:sz w:val="32"/>
          <w:szCs w:val="32"/>
          <w:lang w:val="zh-TW"/>
          <w14:textFill>
            <w14:solidFill>
              <w14:schemeClr w14:val="tx1"/>
            </w14:solidFill>
          </w14:textFill>
        </w:rPr>
        <w:t>从业人员中，大部分</w:t>
      </w:r>
      <w:r>
        <w:rPr>
          <w:rFonts w:hint="eastAsia" w:ascii="Times New Roman" w:hAnsi="Times New Roman" w:eastAsia="仿宋_GB2312"/>
          <w:color w:val="000000" w:themeColor="text1"/>
          <w:kern w:val="0"/>
          <w:sz w:val="32"/>
          <w:szCs w:val="32"/>
          <w:lang w:val="zh-TW"/>
          <w14:textFill>
            <w14:solidFill>
              <w14:schemeClr w14:val="tx1"/>
            </w14:solidFill>
          </w14:textFill>
        </w:rPr>
        <w:t>（78.1%）</w:t>
      </w:r>
      <w:r>
        <w:rPr>
          <w:rFonts w:ascii="Times New Roman" w:hAnsi="Times New Roman" w:eastAsia="仿宋_GB2312"/>
          <w:color w:val="000000" w:themeColor="text1"/>
          <w:kern w:val="0"/>
          <w:sz w:val="32"/>
          <w:szCs w:val="32"/>
          <w:lang w:val="zh-TW"/>
          <w14:textFill>
            <w14:solidFill>
              <w14:schemeClr w14:val="tx1"/>
            </w14:solidFill>
          </w14:textFill>
        </w:rPr>
        <w:t>年龄在25岁</w:t>
      </w:r>
      <w:r>
        <w:rPr>
          <w:rFonts w:hint="eastAsia" w:ascii="Times New Roman" w:hAnsi="Times New Roman" w:eastAsia="仿宋_GB2312"/>
          <w:color w:val="000000" w:themeColor="text1"/>
          <w:kern w:val="0"/>
          <w:sz w:val="32"/>
          <w:szCs w:val="32"/>
          <w:lang w:val="zh-TW"/>
          <w14:textFill>
            <w14:solidFill>
              <w14:schemeClr w14:val="tx1"/>
            </w14:solidFill>
          </w14:textFill>
        </w:rPr>
        <w:t>至</w:t>
      </w:r>
      <w:r>
        <w:rPr>
          <w:rFonts w:ascii="Times New Roman" w:hAnsi="Times New Roman" w:eastAsia="仿宋_GB2312"/>
          <w:color w:val="000000" w:themeColor="text1"/>
          <w:kern w:val="0"/>
          <w:sz w:val="32"/>
          <w:szCs w:val="32"/>
          <w:lang w:val="zh-TW"/>
          <w14:textFill>
            <w14:solidFill>
              <w14:schemeClr w14:val="tx1"/>
            </w14:solidFill>
          </w14:textFill>
        </w:rPr>
        <w:t>45岁之间，</w:t>
      </w:r>
      <w:bookmarkStart w:id="11" w:name="OLE_LINK10"/>
      <w:bookmarkStart w:id="12" w:name="OLE_LINK11"/>
      <w:r>
        <w:rPr>
          <w:rFonts w:ascii="Times New Roman" w:hAnsi="Times New Roman" w:eastAsia="仿宋_GB2312"/>
          <w:color w:val="000000" w:themeColor="text1"/>
          <w:kern w:val="0"/>
          <w:sz w:val="32"/>
          <w:szCs w:val="32"/>
          <w:lang w:val="zh-TW"/>
          <w14:textFill>
            <w14:solidFill>
              <w14:schemeClr w14:val="tx1"/>
            </w14:solidFill>
          </w14:textFill>
        </w:rPr>
        <w:t>其中30岁</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含</w:t>
      </w:r>
      <w:r>
        <w:rPr>
          <w:rFonts w:hint="eastAsia" w:ascii="Times New Roman" w:hAnsi="Times New Roman" w:eastAsia="仿宋_GB2312"/>
          <w:color w:val="000000" w:themeColor="text1"/>
          <w:kern w:val="0"/>
          <w:sz w:val="32"/>
          <w:szCs w:val="32"/>
          <w:lang w:val="zh-TW"/>
          <w14:textFill>
            <w14:solidFill>
              <w14:schemeClr w14:val="tx1"/>
            </w14:solidFill>
          </w14:textFill>
        </w:rPr>
        <w:t>）至</w:t>
      </w:r>
      <w:r>
        <w:rPr>
          <w:rFonts w:ascii="Times New Roman" w:hAnsi="Times New Roman" w:eastAsia="仿宋_GB2312"/>
          <w:color w:val="000000" w:themeColor="text1"/>
          <w:kern w:val="0"/>
          <w:sz w:val="32"/>
          <w:szCs w:val="32"/>
          <w:lang w:val="zh-TW"/>
          <w14:textFill>
            <w14:solidFill>
              <w14:schemeClr w14:val="tx1"/>
            </w14:solidFill>
          </w14:textFill>
        </w:rPr>
        <w:t>35岁</w:t>
      </w:r>
      <w:bookmarkEnd w:id="11"/>
      <w:bookmarkEnd w:id="12"/>
      <w:r>
        <w:rPr>
          <w:rFonts w:ascii="Times New Roman" w:hAnsi="Times New Roman" w:eastAsia="仿宋_GB2312"/>
          <w:color w:val="000000" w:themeColor="text1"/>
          <w:kern w:val="0"/>
          <w:sz w:val="32"/>
          <w:szCs w:val="32"/>
          <w:lang w:val="zh-TW"/>
          <w14:textFill>
            <w14:solidFill>
              <w14:schemeClr w14:val="tx1"/>
            </w14:solidFill>
          </w14:textFill>
        </w:rPr>
        <w:t>以及35岁</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含</w:t>
      </w:r>
      <w:r>
        <w:rPr>
          <w:rFonts w:hint="eastAsia" w:ascii="Times New Roman" w:hAnsi="Times New Roman" w:eastAsia="仿宋_GB2312"/>
          <w:color w:val="000000" w:themeColor="text1"/>
          <w:kern w:val="0"/>
          <w:sz w:val="32"/>
          <w:szCs w:val="32"/>
          <w:lang w:val="zh-TW"/>
          <w14:textFill>
            <w14:solidFill>
              <w14:schemeClr w14:val="tx1"/>
            </w14:solidFill>
          </w14:textFill>
        </w:rPr>
        <w:t>）至</w:t>
      </w:r>
      <w:r>
        <w:rPr>
          <w:rFonts w:ascii="Times New Roman" w:hAnsi="Times New Roman" w:eastAsia="仿宋_GB2312"/>
          <w:color w:val="000000" w:themeColor="text1"/>
          <w:kern w:val="0"/>
          <w:sz w:val="32"/>
          <w:szCs w:val="32"/>
          <w:lang w:val="zh-TW"/>
          <w14:textFill>
            <w14:solidFill>
              <w14:schemeClr w14:val="tx1"/>
            </w14:solidFill>
          </w14:textFill>
        </w:rPr>
        <w:t>40岁区间的占比</w:t>
      </w:r>
      <w:r>
        <w:rPr>
          <w:rFonts w:ascii="Times New Roman" w:hAnsi="Times New Roman" w:eastAsia="仿宋_GB2312"/>
          <w:color w:val="000000" w:themeColor="text1"/>
          <w:kern w:val="0"/>
          <w:sz w:val="32"/>
          <w:szCs w:val="32"/>
          <w14:textFill>
            <w14:solidFill>
              <w14:schemeClr w14:val="tx1"/>
            </w14:solidFill>
          </w14:textFill>
        </w:rPr>
        <w:t>较高</w:t>
      </w:r>
      <w:r>
        <w:rPr>
          <w:rFonts w:ascii="Times New Roman" w:hAnsi="Times New Roman" w:eastAsia="仿宋_GB2312"/>
          <w:color w:val="000000" w:themeColor="text1"/>
          <w:kern w:val="0"/>
          <w:sz w:val="32"/>
          <w:szCs w:val="32"/>
          <w:lang w:val="zh-TW"/>
          <w14:textFill>
            <w14:solidFill>
              <w14:schemeClr w14:val="tx1"/>
            </w14:solidFill>
          </w14:textFill>
        </w:rPr>
        <w:t>，分别为22.0%和21.2%；35岁以下年龄区间占比同比</w:t>
      </w:r>
      <w:r>
        <w:rPr>
          <w:rFonts w:hint="eastAsia" w:ascii="Times New Roman" w:hAnsi="Times New Roman" w:eastAsia="仿宋_GB2312"/>
          <w:color w:val="000000" w:themeColor="text1"/>
          <w:kern w:val="0"/>
          <w:sz w:val="32"/>
          <w:szCs w:val="32"/>
          <w:lang w:val="zh-TW"/>
          <w14:textFill>
            <w14:solidFill>
              <w14:schemeClr w14:val="tx1"/>
            </w14:solidFill>
          </w14:textFill>
        </w:rPr>
        <w:t>2023年</w:t>
      </w:r>
      <w:r>
        <w:rPr>
          <w:rFonts w:ascii="Times New Roman" w:hAnsi="Times New Roman" w:eastAsia="仿宋_GB2312"/>
          <w:color w:val="000000" w:themeColor="text1"/>
          <w:kern w:val="0"/>
          <w:sz w:val="32"/>
          <w:szCs w:val="32"/>
          <w:lang w:val="zh-TW"/>
          <w14:textFill>
            <w14:solidFill>
              <w14:schemeClr w14:val="tx1"/>
            </w14:solidFill>
          </w14:textFill>
        </w:rPr>
        <w:t>下降，其中25</w:t>
      </w:r>
      <w:r>
        <w:rPr>
          <w:rFonts w:hint="eastAsia" w:ascii="Times New Roman" w:hAnsi="Times New Roman" w:eastAsia="仿宋_GB2312"/>
          <w:color w:val="000000" w:themeColor="text1"/>
          <w:kern w:val="0"/>
          <w:sz w:val="32"/>
          <w:szCs w:val="32"/>
          <w14:textFill>
            <w14:solidFill>
              <w14:schemeClr w14:val="tx1"/>
            </w14:solidFill>
          </w14:textFill>
        </w:rPr>
        <w:t>岁</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含</w:t>
      </w:r>
      <w:r>
        <w:rPr>
          <w:rFonts w:hint="eastAsia" w:ascii="Times New Roman" w:hAnsi="Times New Roman" w:eastAsia="仿宋_GB2312"/>
          <w:color w:val="000000" w:themeColor="text1"/>
          <w:kern w:val="0"/>
          <w:sz w:val="32"/>
          <w:szCs w:val="32"/>
          <w:lang w:val="zh-TW"/>
          <w14:textFill>
            <w14:solidFill>
              <w14:schemeClr w14:val="tx1"/>
            </w14:solidFill>
          </w14:textFill>
        </w:rPr>
        <w:t>）至</w:t>
      </w:r>
      <w:r>
        <w:rPr>
          <w:rFonts w:ascii="Times New Roman" w:hAnsi="Times New Roman" w:eastAsia="仿宋_GB2312"/>
          <w:color w:val="000000" w:themeColor="text1"/>
          <w:kern w:val="0"/>
          <w:sz w:val="32"/>
          <w:szCs w:val="32"/>
          <w:lang w:val="zh-TW"/>
          <w14:textFill>
            <w14:solidFill>
              <w14:schemeClr w14:val="tx1"/>
            </w14:solidFill>
          </w14:textFill>
        </w:rPr>
        <w:t>30岁区间占比</w:t>
      </w:r>
      <w:r>
        <w:rPr>
          <w:rFonts w:hint="eastAsia" w:ascii="Times New Roman" w:hAnsi="Times New Roman" w:eastAsia="仿宋_GB2312"/>
          <w:color w:val="000000" w:themeColor="text1"/>
          <w:kern w:val="0"/>
          <w:sz w:val="32"/>
          <w:szCs w:val="32"/>
          <w:lang w:val="zh-TW"/>
          <w14:textFill>
            <w14:solidFill>
              <w14:schemeClr w14:val="tx1"/>
            </w14:solidFill>
          </w14:textFill>
        </w:rPr>
        <w:t>下降</w:t>
      </w:r>
      <w:r>
        <w:rPr>
          <w:rFonts w:ascii="Times New Roman" w:hAnsi="Times New Roman" w:eastAsia="仿宋_GB2312"/>
          <w:color w:val="000000" w:themeColor="text1"/>
          <w:kern w:val="0"/>
          <w:sz w:val="32"/>
          <w:szCs w:val="32"/>
          <w:lang w:val="zh-TW"/>
          <w14:textFill>
            <w14:solidFill>
              <w14:schemeClr w14:val="tx1"/>
            </w14:solidFill>
          </w14:textFill>
        </w:rPr>
        <w:t>最明显，同比</w:t>
      </w:r>
      <w:r>
        <w:rPr>
          <w:rFonts w:ascii="Times New Roman" w:hAnsi="Times New Roman" w:eastAsia="仿宋_GB2312"/>
          <w:color w:val="000000" w:themeColor="text1"/>
          <w:kern w:val="0"/>
          <w:sz w:val="32"/>
          <w:szCs w:val="32"/>
          <w14:textFill>
            <w14:solidFill>
              <w14:schemeClr w14:val="tx1"/>
            </w14:solidFill>
          </w14:textFill>
        </w:rPr>
        <w:t>202</w:t>
      </w:r>
      <w:r>
        <w:rPr>
          <w:rFonts w:hint="eastAsia" w:ascii="Times New Roman" w:hAnsi="Times New Roman" w:eastAsia="仿宋_GB2312"/>
          <w:color w:val="000000" w:themeColor="text1"/>
          <w:kern w:val="0"/>
          <w:sz w:val="32"/>
          <w:szCs w:val="32"/>
          <w14:textFill>
            <w14:solidFill>
              <w14:schemeClr w14:val="tx1"/>
            </w14:solidFill>
          </w14:textFill>
        </w:rPr>
        <w:t>3</w:t>
      </w:r>
      <w:r>
        <w:rPr>
          <w:rFonts w:ascii="Times New Roman" w:hAnsi="Times New Roman" w:eastAsia="仿宋_GB2312"/>
          <w:color w:val="000000" w:themeColor="text1"/>
          <w:kern w:val="0"/>
          <w:sz w:val="32"/>
          <w:szCs w:val="32"/>
          <w14:textFill>
            <w14:solidFill>
              <w14:schemeClr w14:val="tx1"/>
            </w14:solidFill>
          </w14:textFill>
        </w:rPr>
        <w:t>年占比</w:t>
      </w:r>
      <w:r>
        <w:rPr>
          <w:rFonts w:ascii="Times New Roman" w:hAnsi="Times New Roman" w:eastAsia="仿宋_GB2312"/>
          <w:color w:val="000000" w:themeColor="text1"/>
          <w:kern w:val="0"/>
          <w:sz w:val="32"/>
          <w:szCs w:val="32"/>
          <w:lang w:val="zh-TW"/>
          <w14:textFill>
            <w14:solidFill>
              <w14:schemeClr w14:val="tx1"/>
            </w14:solidFill>
          </w14:textFill>
        </w:rPr>
        <w:t>降幅达3.</w:t>
      </w:r>
      <w:r>
        <w:rPr>
          <w:rFonts w:hint="eastAsia" w:ascii="Times New Roman" w:hAnsi="Times New Roman" w:eastAsia="仿宋_GB2312"/>
          <w:color w:val="000000" w:themeColor="text1"/>
          <w:kern w:val="0"/>
          <w:sz w:val="32"/>
          <w:szCs w:val="32"/>
          <w:lang w:val="zh-TW"/>
          <w14:textFill>
            <w14:solidFill>
              <w14:schemeClr w14:val="tx1"/>
            </w14:solidFill>
          </w14:textFill>
        </w:rPr>
        <w:t>0个百分点</w:t>
      </w:r>
      <w:r>
        <w:rPr>
          <w:rFonts w:ascii="Times New Roman" w:hAnsi="Times New Roman" w:eastAsia="仿宋_GB2312"/>
          <w:color w:val="000000" w:themeColor="text1"/>
          <w:kern w:val="0"/>
          <w:sz w:val="32"/>
          <w:szCs w:val="32"/>
          <w:lang w:val="zh-TW"/>
          <w14:textFill>
            <w14:solidFill>
              <w14:schemeClr w14:val="tx1"/>
            </w14:solidFill>
          </w14:textFill>
        </w:rPr>
        <w:t>，35岁以上区间占比较</w:t>
      </w:r>
      <w:r>
        <w:rPr>
          <w:rFonts w:hint="eastAsia" w:ascii="Times New Roman" w:hAnsi="Times New Roman" w:eastAsia="仿宋_GB2312"/>
          <w:color w:val="000000" w:themeColor="text1"/>
          <w:kern w:val="0"/>
          <w:sz w:val="32"/>
          <w:szCs w:val="32"/>
          <w:lang w:val="zh-TW"/>
          <w14:textFill>
            <w14:solidFill>
              <w14:schemeClr w14:val="tx1"/>
            </w14:solidFill>
          </w14:textFill>
        </w:rPr>
        <w:t>2023年</w:t>
      </w:r>
      <w:r>
        <w:rPr>
          <w:rFonts w:hint="eastAsia" w:ascii="Times New Roman" w:hAnsi="Times New Roman" w:eastAsia="仿宋_GB2312"/>
          <w:color w:val="000000" w:themeColor="text1"/>
          <w:kern w:val="0"/>
          <w:sz w:val="32"/>
          <w:szCs w:val="32"/>
          <w14:textFill>
            <w14:solidFill>
              <w14:schemeClr w14:val="tx1"/>
            </w14:solidFill>
          </w14:textFill>
        </w:rPr>
        <w:t>同比</w:t>
      </w:r>
      <w:r>
        <w:rPr>
          <w:rFonts w:ascii="Times New Roman" w:hAnsi="Times New Roman" w:eastAsia="仿宋_GB2312"/>
          <w:color w:val="000000" w:themeColor="text1"/>
          <w:kern w:val="0"/>
          <w:sz w:val="32"/>
          <w:szCs w:val="32"/>
          <w:lang w:val="zh-TW"/>
          <w14:textFill>
            <w14:solidFill>
              <w14:schemeClr w14:val="tx1"/>
            </w14:solidFill>
          </w14:textFill>
        </w:rPr>
        <w:t>增</w:t>
      </w:r>
      <w:r>
        <w:rPr>
          <w:rFonts w:hint="eastAsia" w:ascii="Times New Roman" w:hAnsi="Times New Roman" w:eastAsia="仿宋_GB2312"/>
          <w:color w:val="000000" w:themeColor="text1"/>
          <w:kern w:val="0"/>
          <w:sz w:val="32"/>
          <w:szCs w:val="32"/>
          <w:lang w:val="zh-TW"/>
          <w14:textFill>
            <w14:solidFill>
              <w14:schemeClr w14:val="tx1"/>
            </w14:solidFill>
          </w14:textFill>
        </w:rPr>
        <w:t>幅</w:t>
      </w:r>
      <w:r>
        <w:rPr>
          <w:rFonts w:ascii="Times New Roman" w:hAnsi="Times New Roman" w:eastAsia="仿宋_GB2312"/>
          <w:color w:val="000000" w:themeColor="text1"/>
          <w:kern w:val="0"/>
          <w:sz w:val="32"/>
          <w:szCs w:val="32"/>
          <w:lang w:val="zh-TW"/>
          <w14:textFill>
            <w14:solidFill>
              <w14:schemeClr w14:val="tx1"/>
            </w14:solidFill>
          </w14:textFill>
        </w:rPr>
        <w:t>均超1</w:t>
      </w:r>
      <w:r>
        <w:rPr>
          <w:rFonts w:hint="eastAsia" w:ascii="Times New Roman" w:hAnsi="Times New Roman" w:eastAsia="仿宋_GB2312"/>
          <w:color w:val="000000" w:themeColor="text1"/>
          <w:kern w:val="0"/>
          <w:sz w:val="32"/>
          <w:szCs w:val="32"/>
          <w14:textFill>
            <w14:solidFill>
              <w14:schemeClr w14:val="tx1"/>
            </w14:solidFill>
          </w14:textFill>
        </w:rPr>
        <w:t>.0</w:t>
      </w:r>
      <w:r>
        <w:rPr>
          <w:rFonts w:ascii="Times New Roman" w:hAnsi="Times New Roman" w:eastAsia="仿宋_GB2312"/>
          <w:color w:val="000000" w:themeColor="text1"/>
          <w:kern w:val="0"/>
          <w:sz w:val="32"/>
          <w:szCs w:val="32"/>
          <w:lang w:val="zh-TW"/>
          <w14:textFill>
            <w14:solidFill>
              <w14:schemeClr w14:val="tx1"/>
            </w14:solidFill>
          </w14:textFill>
        </w:rPr>
        <w:t>个百分点（见图</w:t>
      </w:r>
      <w:r>
        <w:rPr>
          <w:rFonts w:hint="eastAsia" w:ascii="Times New Roman" w:hAnsi="Times New Roman" w:eastAsia="仿宋_GB2312"/>
          <w:color w:val="000000" w:themeColor="text1"/>
          <w:kern w:val="0"/>
          <w:sz w:val="32"/>
          <w:szCs w:val="32"/>
          <w14:textFill>
            <w14:solidFill>
              <w14:schemeClr w14:val="tx1"/>
            </w14:solidFill>
          </w14:textFill>
        </w:rPr>
        <w:t>6</w:t>
      </w:r>
      <w:r>
        <w:rPr>
          <w:rFonts w:ascii="Times New Roman" w:hAnsi="Times New Roman" w:eastAsia="仿宋_GB2312"/>
          <w:color w:val="000000" w:themeColor="text1"/>
          <w:kern w:val="0"/>
          <w:sz w:val="32"/>
          <w:szCs w:val="32"/>
          <w:lang w:val="zh-TW"/>
          <w14:textFill>
            <w14:solidFill>
              <w14:schemeClr w14:val="tx1"/>
            </w14:solidFill>
          </w14:textFill>
        </w:rPr>
        <w:t>）。</w:t>
      </w:r>
    </w:p>
    <w:p w14:paraId="771DB9CF">
      <w:pPr>
        <w:jc w:val="center"/>
        <w:rPr>
          <w:rFonts w:ascii="Times New Roman" w:hAnsi="Times New Roman"/>
          <w:b/>
          <w:bCs/>
          <w:sz w:val="22"/>
          <w:szCs w:val="28"/>
        </w:rPr>
      </w:pPr>
      <w:r>
        <w:rPr>
          <w:rFonts w:ascii="Times New Roman" w:hAnsi="Times New Roman"/>
          <w:b/>
          <w:bCs/>
          <w:sz w:val="22"/>
          <w:szCs w:val="28"/>
        </w:rPr>
        <w:drawing>
          <wp:inline distT="0" distB="0" distL="0" distR="0">
            <wp:extent cx="5177155" cy="2747645"/>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178671" cy="2748391"/>
                    </a:xfrm>
                    <a:prstGeom prst="rect">
                      <a:avLst/>
                    </a:prstGeom>
                    <a:noFill/>
                  </pic:spPr>
                </pic:pic>
              </a:graphicData>
            </a:graphic>
          </wp:inline>
        </w:drawing>
      </w:r>
    </w:p>
    <w:p w14:paraId="65BFA95C">
      <w:pPr>
        <w:jc w:val="center"/>
        <w:rPr>
          <w:rFonts w:ascii="Times New Roman" w:hAnsi="Times New Roman"/>
          <w:sz w:val="24"/>
        </w:rPr>
      </w:pPr>
      <w:bookmarkStart w:id="13" w:name="OLE_LINK34"/>
      <w:bookmarkStart w:id="14" w:name="OLE_LINK33"/>
      <w:r>
        <w:rPr>
          <w:rFonts w:ascii="Times New Roman" w:hAnsi="Times New Roman"/>
          <w:sz w:val="24"/>
        </w:rPr>
        <w:t>图</w:t>
      </w:r>
      <w:r>
        <w:rPr>
          <w:rFonts w:hint="eastAsia" w:ascii="Times New Roman" w:hAnsi="Times New Roman"/>
          <w:sz w:val="24"/>
        </w:rPr>
        <w:t>5</w:t>
      </w:r>
      <w:r>
        <w:rPr>
          <w:rFonts w:ascii="Times New Roman" w:hAnsi="Times New Roman"/>
          <w:sz w:val="24"/>
        </w:rPr>
        <w:t xml:space="preserve">  2018年-2024年广州市记录在职从业人员数量</w:t>
      </w:r>
    </w:p>
    <w:p w14:paraId="2E4F4120">
      <w:pPr>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55501849">
      <w:pPr>
        <w:jc w:val="right"/>
        <w:rPr>
          <w:rFonts w:ascii="Times New Roman" w:hAnsi="Times New Roman"/>
          <w:color w:val="000000" w:themeColor="text1"/>
          <w:szCs w:val="21"/>
          <w14:textFill>
            <w14:solidFill>
              <w14:schemeClr w14:val="tx1"/>
            </w14:solidFill>
          </w14:textFill>
        </w:rPr>
      </w:pPr>
    </w:p>
    <w:bookmarkEnd w:id="13"/>
    <w:bookmarkEnd w:id="14"/>
    <w:p w14:paraId="66D173B1">
      <w:pPr>
        <w:spacing w:line="360" w:lineRule="auto"/>
        <w:jc w:val="center"/>
        <w:rPr>
          <w:rFonts w:ascii="Times New Roman" w:hAnsi="Times New Roman" w:eastAsiaTheme="minorEastAsia"/>
          <w:color w:val="000000" w:themeColor="text1"/>
          <w:sz w:val="24"/>
          <w14:textFill>
            <w14:solidFill>
              <w14:schemeClr w14:val="tx1"/>
            </w14:solidFill>
          </w14:textFill>
        </w:rPr>
      </w:pPr>
      <w:r>
        <w:rPr>
          <w:rFonts w:ascii="Times New Roman" w:hAnsi="Times New Roman" w:eastAsiaTheme="minorEastAsia"/>
          <w:color w:val="000000" w:themeColor="text1"/>
          <w:sz w:val="24"/>
          <w14:textFill>
            <w14:solidFill>
              <w14:schemeClr w14:val="tx1"/>
            </w14:solidFill>
          </w14:textFill>
        </w:rPr>
        <w:drawing>
          <wp:inline distT="0" distB="0" distL="0" distR="0">
            <wp:extent cx="5132070" cy="2988310"/>
            <wp:effectExtent l="0" t="0" r="0" b="254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134836" cy="2990348"/>
                    </a:xfrm>
                    <a:prstGeom prst="rect">
                      <a:avLst/>
                    </a:prstGeom>
                    <a:noFill/>
                  </pic:spPr>
                </pic:pic>
              </a:graphicData>
            </a:graphic>
          </wp:inline>
        </w:drawing>
      </w:r>
    </w:p>
    <w:p w14:paraId="60B73D1D">
      <w:pPr>
        <w:jc w:val="center"/>
        <w:rPr>
          <w:rFonts w:ascii="Times New Roman" w:hAnsi="Times New Roman"/>
          <w:sz w:val="24"/>
        </w:rPr>
      </w:pPr>
      <w:r>
        <w:rPr>
          <w:rFonts w:ascii="Times New Roman" w:hAnsi="Times New Roman"/>
          <w:sz w:val="24"/>
        </w:rPr>
        <w:t>图</w:t>
      </w:r>
      <w:r>
        <w:rPr>
          <w:rFonts w:hint="eastAsia" w:ascii="Times New Roman" w:hAnsi="Times New Roman"/>
          <w:sz w:val="24"/>
        </w:rPr>
        <w:t>6</w:t>
      </w:r>
      <w:r>
        <w:rPr>
          <w:rFonts w:ascii="Times New Roman" w:hAnsi="Times New Roman"/>
          <w:sz w:val="24"/>
        </w:rPr>
        <w:t xml:space="preserve">  2022年-2024年广州市记录在职从业人员年龄区间占比</w:t>
      </w:r>
    </w:p>
    <w:p w14:paraId="3718294A">
      <w:pPr>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6D67D964">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2024年，全市新增办理信用信息卡的从业人员2850人，同比</w:t>
      </w:r>
      <w:r>
        <w:rPr>
          <w:rFonts w:hint="eastAsia" w:ascii="Times New Roman" w:hAnsi="Times New Roman" w:eastAsia="仿宋_GB2312"/>
          <w:color w:val="000000" w:themeColor="text1"/>
          <w:kern w:val="0"/>
          <w:sz w:val="32"/>
          <w:szCs w:val="32"/>
          <w:lang w:val="zh-TW"/>
          <w14:textFill>
            <w14:solidFill>
              <w14:schemeClr w14:val="tx1"/>
            </w14:solidFill>
          </w14:textFill>
        </w:rPr>
        <w:t>2022年、2023年</w:t>
      </w:r>
      <w:r>
        <w:rPr>
          <w:rFonts w:ascii="Times New Roman" w:hAnsi="Times New Roman" w:eastAsia="仿宋_GB2312"/>
          <w:color w:val="000000" w:themeColor="text1"/>
          <w:kern w:val="0"/>
          <w:sz w:val="32"/>
          <w:szCs w:val="32"/>
          <w:lang w:val="zh-TW"/>
          <w14:textFill>
            <w14:solidFill>
              <w14:schemeClr w14:val="tx1"/>
            </w14:solidFill>
          </w14:textFill>
        </w:rPr>
        <w:t>基本持平（见图</w:t>
      </w:r>
      <w:r>
        <w:rPr>
          <w:rFonts w:hint="eastAsia" w:ascii="Times New Roman" w:hAnsi="Times New Roman" w:eastAsia="仿宋_GB2312"/>
          <w:color w:val="000000" w:themeColor="text1"/>
          <w:kern w:val="0"/>
          <w:sz w:val="32"/>
          <w:szCs w:val="32"/>
          <w14:textFill>
            <w14:solidFill>
              <w14:schemeClr w14:val="tx1"/>
            </w14:solidFill>
          </w14:textFill>
        </w:rPr>
        <w:t>7</w:t>
      </w:r>
      <w:r>
        <w:rPr>
          <w:rFonts w:ascii="Times New Roman" w:hAnsi="Times New Roman" w:eastAsia="仿宋_GB2312"/>
          <w:color w:val="000000" w:themeColor="text1"/>
          <w:kern w:val="0"/>
          <w:sz w:val="32"/>
          <w:szCs w:val="32"/>
          <w:lang w:val="zh-TW"/>
          <w14:textFill>
            <w14:solidFill>
              <w14:schemeClr w14:val="tx1"/>
            </w14:solidFill>
          </w14:textFill>
        </w:rPr>
        <w:t>）。</w:t>
      </w:r>
    </w:p>
    <w:p w14:paraId="47C3E625">
      <w:pPr>
        <w:spacing w:line="360" w:lineRule="auto"/>
        <w:jc w:val="center"/>
        <w:rPr>
          <w:rFonts w:ascii="Times New Roman" w:hAnsi="Times New Roman" w:eastAsiaTheme="minorEastAsia"/>
          <w:sz w:val="24"/>
        </w:rPr>
      </w:pPr>
      <w:r>
        <w:rPr>
          <w:rFonts w:ascii="Times New Roman" w:hAnsi="Times New Roman" w:eastAsiaTheme="minorEastAsia"/>
          <w:sz w:val="24"/>
        </w:rPr>
        <w:drawing>
          <wp:inline distT="0" distB="0" distL="0" distR="0">
            <wp:extent cx="4572000" cy="242633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577605" cy="2429397"/>
                    </a:xfrm>
                    <a:prstGeom prst="rect">
                      <a:avLst/>
                    </a:prstGeom>
                    <a:noFill/>
                  </pic:spPr>
                </pic:pic>
              </a:graphicData>
            </a:graphic>
          </wp:inline>
        </w:drawing>
      </w:r>
    </w:p>
    <w:p w14:paraId="0DD7F5D7">
      <w:pPr>
        <w:jc w:val="center"/>
        <w:rPr>
          <w:rFonts w:ascii="Times New Roman" w:hAnsi="Times New Roman"/>
          <w:sz w:val="24"/>
        </w:rPr>
      </w:pPr>
      <w:r>
        <w:rPr>
          <w:rFonts w:ascii="Times New Roman" w:hAnsi="Times New Roman"/>
          <w:sz w:val="24"/>
        </w:rPr>
        <w:t>图</w:t>
      </w:r>
      <w:r>
        <w:rPr>
          <w:rFonts w:hint="eastAsia" w:ascii="Times New Roman" w:hAnsi="Times New Roman"/>
          <w:sz w:val="24"/>
        </w:rPr>
        <w:t>7</w:t>
      </w:r>
      <w:r>
        <w:rPr>
          <w:rFonts w:ascii="Times New Roman" w:hAnsi="Times New Roman"/>
          <w:sz w:val="24"/>
        </w:rPr>
        <w:t xml:space="preserve">  2018年-2024年广州市新增办理从业人员信用信息卡的数量</w:t>
      </w:r>
    </w:p>
    <w:p w14:paraId="464A23FC">
      <w:pPr>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13ADE6B0">
      <w:pPr>
        <w:jc w:val="right"/>
        <w:rPr>
          <w:rFonts w:ascii="Times New Roman" w:hAnsi="Times New Roman"/>
          <w:color w:val="000000" w:themeColor="text1"/>
          <w:sz w:val="22"/>
          <w14:textFill>
            <w14:solidFill>
              <w14:schemeClr w14:val="tx1"/>
            </w14:solidFill>
          </w14:textFill>
        </w:rPr>
      </w:pPr>
    </w:p>
    <w:p w14:paraId="03D0A4D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截至2024年末</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在职</w:t>
      </w:r>
      <w:r>
        <w:rPr>
          <w:rFonts w:ascii="Times New Roman" w:hAnsi="Times New Roman" w:eastAsia="仿宋_GB2312"/>
          <w:color w:val="000000" w:themeColor="text1"/>
          <w:kern w:val="0"/>
          <w:sz w:val="32"/>
          <w:szCs w:val="32"/>
          <w:lang w:val="zh-TW"/>
          <w14:textFill>
            <w14:solidFill>
              <w14:schemeClr w14:val="tx1"/>
            </w14:solidFill>
          </w14:textFill>
        </w:rPr>
        <w:t>从业人员持有信用信息卡数量链家</w:t>
      </w:r>
      <w:r>
        <w:rPr>
          <w:rFonts w:hint="eastAsia" w:ascii="Times New Roman" w:hAnsi="Times New Roman" w:eastAsia="仿宋_GB2312"/>
          <w:color w:val="000000" w:themeColor="text1"/>
          <w:kern w:val="0"/>
          <w:sz w:val="32"/>
          <w:szCs w:val="32"/>
          <w:lang w:val="zh-TW"/>
          <w14:textFill>
            <w14:solidFill>
              <w14:schemeClr w14:val="tx1"/>
            </w14:solidFill>
          </w14:textFill>
        </w:rPr>
        <w:t>以</w:t>
      </w:r>
      <w:r>
        <w:rPr>
          <w:rFonts w:ascii="Times New Roman" w:hAnsi="Times New Roman" w:eastAsia="仿宋_GB2312"/>
          <w:color w:val="000000" w:themeColor="text1"/>
          <w:kern w:val="0"/>
          <w:sz w:val="32"/>
          <w:szCs w:val="32"/>
          <w:lang w:val="zh-TW"/>
          <w14:textFill>
            <w14:solidFill>
              <w14:schemeClr w14:val="tx1"/>
            </w14:solidFill>
          </w14:textFill>
        </w:rPr>
        <w:t>7645张</w:t>
      </w:r>
      <w:r>
        <w:rPr>
          <w:rFonts w:hint="eastAsia" w:ascii="Times New Roman" w:hAnsi="Times New Roman" w:eastAsia="仿宋_GB2312"/>
          <w:color w:val="000000" w:themeColor="text1"/>
          <w:kern w:val="0"/>
          <w:sz w:val="32"/>
          <w:szCs w:val="32"/>
          <w:lang w:val="zh-TW"/>
          <w14:textFill>
            <w14:solidFill>
              <w14:schemeClr w14:val="tx1"/>
            </w14:solidFill>
          </w14:textFill>
        </w:rPr>
        <w:t>居第一</w:t>
      </w:r>
      <w:r>
        <w:rPr>
          <w:rFonts w:ascii="Times New Roman" w:hAnsi="Times New Roman" w:eastAsia="仿宋_GB2312"/>
          <w:color w:val="000000" w:themeColor="text1"/>
          <w:kern w:val="0"/>
          <w:sz w:val="32"/>
          <w:szCs w:val="32"/>
          <w:lang w:val="zh-TW"/>
          <w14:textFill>
            <w14:solidFill>
              <w14:schemeClr w14:val="tx1"/>
            </w14:solidFill>
          </w14:textFill>
        </w:rPr>
        <w:t>，合富置业以781张居第二，中原地产第三（见表</w:t>
      </w:r>
      <w:r>
        <w:rPr>
          <w:rFonts w:hint="eastAsia" w:ascii="Times New Roman" w:hAnsi="Times New Roman" w:eastAsia="仿宋_GB2312"/>
          <w:color w:val="000000" w:themeColor="text1"/>
          <w:kern w:val="0"/>
          <w:sz w:val="32"/>
          <w:szCs w:val="32"/>
          <w:lang w:val="zh-TW"/>
          <w14:textFill>
            <w14:solidFill>
              <w14:schemeClr w14:val="tx1"/>
            </w14:solidFill>
          </w14:textFill>
        </w:rPr>
        <w:t>3</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在职</w:t>
      </w:r>
      <w:r>
        <w:rPr>
          <w:rFonts w:ascii="Times New Roman" w:hAnsi="Times New Roman" w:eastAsia="仿宋_GB2312"/>
          <w:color w:val="000000" w:themeColor="text1"/>
          <w:kern w:val="0"/>
          <w:sz w:val="32"/>
          <w:szCs w:val="32"/>
          <w:lang w:val="zh-TW"/>
          <w14:textFill>
            <w14:solidFill>
              <w14:schemeClr w14:val="tx1"/>
            </w14:solidFill>
          </w14:textFill>
        </w:rPr>
        <w:t>从业人员持有信用信息卡数量排名前20的中介机构合计占全市的比例为20.6%，集中度较</w:t>
      </w:r>
      <w:r>
        <w:rPr>
          <w:rFonts w:ascii="Times New Roman" w:hAnsi="Times New Roman" w:eastAsia="仿宋_GB2312"/>
          <w:color w:val="000000" w:themeColor="text1"/>
          <w:kern w:val="0"/>
          <w:sz w:val="32"/>
          <w:szCs w:val="32"/>
          <w14:textFill>
            <w14:solidFill>
              <w14:schemeClr w14:val="tx1"/>
            </w14:solidFill>
          </w14:textFill>
        </w:rPr>
        <w:t>2023</w:t>
      </w:r>
      <w:r>
        <w:rPr>
          <w:rFonts w:ascii="Times New Roman" w:hAnsi="Times New Roman" w:eastAsia="仿宋_GB2312"/>
          <w:color w:val="000000" w:themeColor="text1"/>
          <w:kern w:val="0"/>
          <w:sz w:val="32"/>
          <w:szCs w:val="32"/>
          <w:lang w:val="zh-TW"/>
          <w14:textFill>
            <w14:solidFill>
              <w14:schemeClr w14:val="tx1"/>
            </w14:solidFill>
          </w14:textFill>
        </w:rPr>
        <w:t>年有所下降。</w:t>
      </w:r>
    </w:p>
    <w:p w14:paraId="5D44E364">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627414C6">
      <w:pPr>
        <w:jc w:val="center"/>
        <w:rPr>
          <w:rFonts w:ascii="Times New Roman" w:hAnsi="Times New Roman"/>
          <w:sz w:val="24"/>
        </w:rPr>
      </w:pPr>
      <w:r>
        <w:rPr>
          <w:rFonts w:ascii="Times New Roman" w:hAnsi="Times New Roman"/>
          <w:sz w:val="24"/>
        </w:rPr>
        <w:t>表</w:t>
      </w:r>
      <w:r>
        <w:rPr>
          <w:rFonts w:hint="eastAsia" w:ascii="Times New Roman" w:hAnsi="Times New Roman"/>
          <w:sz w:val="24"/>
        </w:rPr>
        <w:t>3</w:t>
      </w:r>
      <w:r>
        <w:rPr>
          <w:rFonts w:ascii="Times New Roman" w:hAnsi="Times New Roman"/>
          <w:sz w:val="24"/>
        </w:rPr>
        <w:t xml:space="preserve">  广州市</w:t>
      </w:r>
      <w:r>
        <w:rPr>
          <w:rFonts w:hint="eastAsia" w:ascii="Times New Roman" w:hAnsi="Times New Roman"/>
          <w:sz w:val="24"/>
        </w:rPr>
        <w:t>记录在职</w:t>
      </w:r>
      <w:r>
        <w:rPr>
          <w:rFonts w:ascii="Times New Roman" w:hAnsi="Times New Roman"/>
          <w:sz w:val="24"/>
        </w:rPr>
        <w:t>从业人员持有信用信息卡数量排名前20的中介机构</w:t>
      </w:r>
    </w:p>
    <w:tbl>
      <w:tblPr>
        <w:tblStyle w:val="19"/>
        <w:tblW w:w="83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733"/>
        <w:gridCol w:w="2667"/>
      </w:tblGrid>
      <w:tr w14:paraId="7CF8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4B8A37AF">
            <w:pPr>
              <w:jc w:val="center"/>
              <w:rPr>
                <w:rFonts w:ascii="Times New Roman" w:hAnsi="Times New Roman" w:eastAsia="黑体"/>
                <w:b/>
                <w:color w:val="000000" w:themeColor="text1"/>
                <w:sz w:val="22"/>
                <w:szCs w:val="23"/>
                <w14:textFill>
                  <w14:solidFill>
                    <w14:schemeClr w14:val="tx1"/>
                  </w14:solidFill>
                </w14:textFill>
              </w:rPr>
            </w:pPr>
            <w:r>
              <w:rPr>
                <w:rFonts w:ascii="Times New Roman" w:hAnsi="Times New Roman" w:eastAsia="黑体"/>
                <w:b/>
                <w:color w:val="000000" w:themeColor="text1"/>
                <w:sz w:val="22"/>
                <w:szCs w:val="23"/>
                <w14:textFill>
                  <w14:solidFill>
                    <w14:schemeClr w14:val="tx1"/>
                  </w14:solidFill>
                </w14:textFill>
              </w:rPr>
              <w:t>序号</w:t>
            </w:r>
          </w:p>
        </w:tc>
        <w:tc>
          <w:tcPr>
            <w:tcW w:w="4733" w:type="dxa"/>
            <w:shd w:val="clear" w:color="auto" w:fill="FFFFFF"/>
            <w:vAlign w:val="center"/>
          </w:tcPr>
          <w:p w14:paraId="6399EE72">
            <w:pPr>
              <w:jc w:val="center"/>
              <w:rPr>
                <w:rFonts w:ascii="Times New Roman" w:hAnsi="Times New Roman" w:eastAsia="黑体"/>
                <w:b/>
                <w:color w:val="000000" w:themeColor="text1"/>
                <w:sz w:val="22"/>
                <w:szCs w:val="23"/>
                <w14:textFill>
                  <w14:solidFill>
                    <w14:schemeClr w14:val="tx1"/>
                  </w14:solidFill>
                </w14:textFill>
              </w:rPr>
            </w:pPr>
            <w:r>
              <w:rPr>
                <w:rFonts w:ascii="Times New Roman" w:hAnsi="Times New Roman" w:eastAsia="黑体"/>
                <w:b/>
                <w:color w:val="000000" w:themeColor="text1"/>
                <w:sz w:val="22"/>
                <w:szCs w:val="23"/>
                <w14:textFill>
                  <w14:solidFill>
                    <w14:schemeClr w14:val="tx1"/>
                  </w14:solidFill>
                </w14:textFill>
              </w:rPr>
              <w:t>中介机构名称</w:t>
            </w:r>
          </w:p>
        </w:tc>
        <w:tc>
          <w:tcPr>
            <w:tcW w:w="2667" w:type="dxa"/>
            <w:shd w:val="clear" w:color="auto" w:fill="FFFFFF"/>
            <w:vAlign w:val="center"/>
          </w:tcPr>
          <w:p w14:paraId="4F814468">
            <w:pPr>
              <w:jc w:val="center"/>
              <w:rPr>
                <w:rFonts w:ascii="Times New Roman" w:hAnsi="Times New Roman" w:eastAsia="黑体"/>
                <w:b/>
                <w:color w:val="000000" w:themeColor="text1"/>
                <w:sz w:val="22"/>
                <w:szCs w:val="23"/>
                <w14:textFill>
                  <w14:solidFill>
                    <w14:schemeClr w14:val="tx1"/>
                  </w14:solidFill>
                </w14:textFill>
              </w:rPr>
            </w:pPr>
            <w:r>
              <w:rPr>
                <w:rFonts w:hint="eastAsia" w:ascii="Times New Roman" w:hAnsi="Times New Roman" w:eastAsia="黑体"/>
                <w:b/>
                <w:color w:val="000000" w:themeColor="text1"/>
                <w:sz w:val="22"/>
                <w:szCs w:val="23"/>
                <w14:textFill>
                  <w14:solidFill>
                    <w14:schemeClr w14:val="tx1"/>
                  </w14:solidFill>
                </w14:textFill>
              </w:rPr>
              <w:t>记录在职</w:t>
            </w:r>
            <w:r>
              <w:rPr>
                <w:rFonts w:ascii="Times New Roman" w:hAnsi="Times New Roman" w:eastAsia="黑体"/>
                <w:b/>
                <w:color w:val="000000" w:themeColor="text1"/>
                <w:sz w:val="22"/>
                <w:szCs w:val="23"/>
                <w14:textFill>
                  <w14:solidFill>
                    <w14:schemeClr w14:val="tx1"/>
                  </w14:solidFill>
                </w14:textFill>
              </w:rPr>
              <w:t>从业人员</w:t>
            </w:r>
            <w:r>
              <w:rPr>
                <w:rFonts w:hint="eastAsia" w:ascii="Times New Roman" w:hAnsi="Times New Roman" w:eastAsia="黑体"/>
                <w:b/>
                <w:color w:val="000000" w:themeColor="text1"/>
                <w:sz w:val="22"/>
                <w:szCs w:val="23"/>
                <w14:textFill>
                  <w14:solidFill>
                    <w14:schemeClr w14:val="tx1"/>
                  </w14:solidFill>
                </w14:textFill>
              </w:rPr>
              <w:t>持有</w:t>
            </w:r>
            <w:r>
              <w:rPr>
                <w:rFonts w:ascii="Times New Roman" w:hAnsi="Times New Roman" w:eastAsia="黑体"/>
                <w:b/>
                <w:color w:val="000000" w:themeColor="text1"/>
                <w:sz w:val="22"/>
                <w:szCs w:val="23"/>
                <w14:textFill>
                  <w14:solidFill>
                    <w14:schemeClr w14:val="tx1"/>
                  </w14:solidFill>
                </w14:textFill>
              </w:rPr>
              <w:t>信用信息卡</w:t>
            </w:r>
            <w:r>
              <w:rPr>
                <w:rFonts w:hint="eastAsia" w:ascii="Times New Roman" w:hAnsi="Times New Roman" w:eastAsia="黑体"/>
                <w:b/>
                <w:color w:val="000000" w:themeColor="text1"/>
                <w:sz w:val="22"/>
                <w:szCs w:val="23"/>
                <w14:textFill>
                  <w14:solidFill>
                    <w14:schemeClr w14:val="tx1"/>
                  </w14:solidFill>
                </w14:textFill>
              </w:rPr>
              <w:t>的</w:t>
            </w:r>
            <w:r>
              <w:rPr>
                <w:rFonts w:ascii="Times New Roman" w:hAnsi="Times New Roman" w:eastAsia="黑体"/>
                <w:b/>
                <w:color w:val="000000" w:themeColor="text1"/>
                <w:sz w:val="22"/>
                <w:szCs w:val="23"/>
                <w14:textFill>
                  <w14:solidFill>
                    <w14:schemeClr w14:val="tx1"/>
                  </w14:solidFill>
                </w14:textFill>
              </w:rPr>
              <w:t>数量</w:t>
            </w:r>
          </w:p>
        </w:tc>
      </w:tr>
      <w:tr w14:paraId="2431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508DCCEE">
            <w:pPr>
              <w:jc w:val="center"/>
              <w:rPr>
                <w:rFonts w:ascii="Times New Roman" w:hAnsi="Times New Roman"/>
                <w:color w:val="000000"/>
                <w:sz w:val="24"/>
              </w:rPr>
            </w:pPr>
            <w:r>
              <w:rPr>
                <w:rFonts w:ascii="Times New Roman" w:hAnsi="Times New Roman"/>
                <w:color w:val="000000"/>
                <w:sz w:val="24"/>
              </w:rPr>
              <w:t>1</w:t>
            </w:r>
          </w:p>
        </w:tc>
        <w:tc>
          <w:tcPr>
            <w:tcW w:w="4733" w:type="dxa"/>
            <w:shd w:val="clear" w:color="auto" w:fill="FFFFFF"/>
            <w:vAlign w:val="center"/>
          </w:tcPr>
          <w:p w14:paraId="10C2055C">
            <w:pPr>
              <w:jc w:val="center"/>
              <w:rPr>
                <w:rFonts w:ascii="Times New Roman" w:hAnsi="Times New Roman" w:eastAsia="仿宋"/>
                <w:color w:val="000000"/>
                <w:sz w:val="24"/>
              </w:rPr>
            </w:pPr>
            <w:r>
              <w:rPr>
                <w:rFonts w:ascii="Times New Roman" w:hAnsi="Times New Roman" w:eastAsia="仿宋"/>
                <w:color w:val="000000"/>
                <w:sz w:val="24"/>
              </w:rPr>
              <w:t>广东链家房地产经纪有限公司</w:t>
            </w:r>
          </w:p>
        </w:tc>
        <w:tc>
          <w:tcPr>
            <w:tcW w:w="2667" w:type="dxa"/>
            <w:shd w:val="clear" w:color="auto" w:fill="FFFFFF"/>
            <w:vAlign w:val="center"/>
          </w:tcPr>
          <w:p w14:paraId="1001CBEB">
            <w:pPr>
              <w:jc w:val="center"/>
              <w:rPr>
                <w:rFonts w:ascii="Times New Roman" w:hAnsi="Times New Roman"/>
                <w:color w:val="000000"/>
                <w:sz w:val="24"/>
              </w:rPr>
            </w:pPr>
            <w:r>
              <w:rPr>
                <w:rFonts w:ascii="Times New Roman" w:hAnsi="Times New Roman"/>
                <w:color w:val="000000"/>
                <w:sz w:val="24"/>
              </w:rPr>
              <w:t>7645</w:t>
            </w:r>
          </w:p>
        </w:tc>
      </w:tr>
      <w:tr w14:paraId="03B3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4FFD5834">
            <w:pPr>
              <w:jc w:val="center"/>
              <w:rPr>
                <w:rFonts w:ascii="Times New Roman" w:hAnsi="Times New Roman"/>
                <w:color w:val="000000"/>
                <w:sz w:val="24"/>
              </w:rPr>
            </w:pPr>
            <w:r>
              <w:rPr>
                <w:rFonts w:ascii="Times New Roman" w:hAnsi="Times New Roman"/>
                <w:color w:val="000000"/>
                <w:sz w:val="24"/>
              </w:rPr>
              <w:t>2</w:t>
            </w:r>
          </w:p>
        </w:tc>
        <w:tc>
          <w:tcPr>
            <w:tcW w:w="4733" w:type="dxa"/>
            <w:shd w:val="clear" w:color="auto" w:fill="FFFFFF"/>
            <w:vAlign w:val="center"/>
          </w:tcPr>
          <w:p w14:paraId="2FD579FB">
            <w:pPr>
              <w:jc w:val="center"/>
              <w:rPr>
                <w:rFonts w:ascii="Times New Roman" w:hAnsi="Times New Roman" w:eastAsia="仿宋"/>
                <w:color w:val="000000"/>
                <w:sz w:val="24"/>
              </w:rPr>
            </w:pPr>
            <w:r>
              <w:rPr>
                <w:rFonts w:ascii="Times New Roman" w:hAnsi="Times New Roman" w:eastAsia="仿宋"/>
                <w:color w:val="000000"/>
                <w:sz w:val="24"/>
              </w:rPr>
              <w:t>广东合富房地产置业有限公司</w:t>
            </w:r>
          </w:p>
        </w:tc>
        <w:tc>
          <w:tcPr>
            <w:tcW w:w="2667" w:type="dxa"/>
            <w:shd w:val="clear" w:color="auto" w:fill="FFFFFF"/>
            <w:vAlign w:val="center"/>
          </w:tcPr>
          <w:p w14:paraId="503C1640">
            <w:pPr>
              <w:jc w:val="center"/>
              <w:rPr>
                <w:rFonts w:ascii="Times New Roman" w:hAnsi="Times New Roman"/>
                <w:color w:val="000000"/>
                <w:sz w:val="24"/>
              </w:rPr>
            </w:pPr>
            <w:r>
              <w:rPr>
                <w:rFonts w:ascii="Times New Roman" w:hAnsi="Times New Roman"/>
                <w:color w:val="000000"/>
                <w:sz w:val="24"/>
              </w:rPr>
              <w:t>781</w:t>
            </w:r>
          </w:p>
        </w:tc>
      </w:tr>
      <w:tr w14:paraId="1FB3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041380EB">
            <w:pPr>
              <w:jc w:val="center"/>
              <w:rPr>
                <w:rFonts w:ascii="Times New Roman" w:hAnsi="Times New Roman"/>
                <w:color w:val="000000"/>
                <w:sz w:val="24"/>
              </w:rPr>
            </w:pPr>
            <w:r>
              <w:rPr>
                <w:rFonts w:ascii="Times New Roman" w:hAnsi="Times New Roman"/>
                <w:color w:val="000000"/>
                <w:sz w:val="24"/>
              </w:rPr>
              <w:t>3</w:t>
            </w:r>
          </w:p>
        </w:tc>
        <w:tc>
          <w:tcPr>
            <w:tcW w:w="4733" w:type="dxa"/>
            <w:shd w:val="clear" w:color="auto" w:fill="FFFFFF"/>
            <w:vAlign w:val="center"/>
          </w:tcPr>
          <w:p w14:paraId="0A7D9A30">
            <w:pPr>
              <w:jc w:val="center"/>
              <w:rPr>
                <w:rFonts w:ascii="Times New Roman" w:hAnsi="Times New Roman" w:eastAsia="仿宋"/>
                <w:color w:val="000000"/>
                <w:sz w:val="24"/>
              </w:rPr>
            </w:pPr>
            <w:r>
              <w:rPr>
                <w:rFonts w:ascii="Times New Roman" w:hAnsi="Times New Roman" w:eastAsia="仿宋"/>
                <w:color w:val="000000"/>
                <w:sz w:val="24"/>
              </w:rPr>
              <w:t>广东中原地产代理有限公司</w:t>
            </w:r>
          </w:p>
        </w:tc>
        <w:tc>
          <w:tcPr>
            <w:tcW w:w="2667" w:type="dxa"/>
            <w:shd w:val="clear" w:color="auto" w:fill="FFFFFF"/>
            <w:vAlign w:val="center"/>
          </w:tcPr>
          <w:p w14:paraId="18CE3985">
            <w:pPr>
              <w:jc w:val="center"/>
              <w:rPr>
                <w:rFonts w:ascii="Times New Roman" w:hAnsi="Times New Roman"/>
                <w:color w:val="000000"/>
                <w:sz w:val="24"/>
              </w:rPr>
            </w:pPr>
            <w:r>
              <w:rPr>
                <w:rFonts w:ascii="Times New Roman" w:hAnsi="Times New Roman"/>
                <w:color w:val="000000"/>
                <w:sz w:val="24"/>
              </w:rPr>
              <w:t>534</w:t>
            </w:r>
          </w:p>
        </w:tc>
      </w:tr>
      <w:tr w14:paraId="5BA9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43C6DCC4">
            <w:pPr>
              <w:jc w:val="center"/>
              <w:rPr>
                <w:rFonts w:ascii="Times New Roman" w:hAnsi="Times New Roman"/>
                <w:color w:val="000000"/>
                <w:sz w:val="24"/>
              </w:rPr>
            </w:pPr>
            <w:r>
              <w:rPr>
                <w:rFonts w:ascii="Times New Roman" w:hAnsi="Times New Roman"/>
                <w:color w:val="000000"/>
                <w:sz w:val="24"/>
              </w:rPr>
              <w:t>4</w:t>
            </w:r>
          </w:p>
        </w:tc>
        <w:tc>
          <w:tcPr>
            <w:tcW w:w="4733" w:type="dxa"/>
            <w:shd w:val="clear" w:color="auto" w:fill="FFFFFF"/>
            <w:vAlign w:val="center"/>
          </w:tcPr>
          <w:p w14:paraId="2A2D618B">
            <w:pPr>
              <w:jc w:val="center"/>
              <w:rPr>
                <w:rFonts w:ascii="Times New Roman" w:hAnsi="Times New Roman" w:eastAsia="仿宋"/>
                <w:color w:val="000000"/>
                <w:sz w:val="24"/>
              </w:rPr>
            </w:pPr>
            <w:r>
              <w:rPr>
                <w:rFonts w:ascii="Times New Roman" w:hAnsi="Times New Roman" w:eastAsia="仿宋"/>
                <w:color w:val="000000"/>
                <w:sz w:val="24"/>
              </w:rPr>
              <w:t>广州合富辉煌房地产顾问有限公司</w:t>
            </w:r>
          </w:p>
        </w:tc>
        <w:tc>
          <w:tcPr>
            <w:tcW w:w="2667" w:type="dxa"/>
            <w:shd w:val="clear" w:color="auto" w:fill="FFFFFF"/>
            <w:vAlign w:val="center"/>
          </w:tcPr>
          <w:p w14:paraId="5916848E">
            <w:pPr>
              <w:jc w:val="center"/>
              <w:rPr>
                <w:rFonts w:ascii="Times New Roman" w:hAnsi="Times New Roman"/>
                <w:color w:val="000000"/>
                <w:sz w:val="24"/>
              </w:rPr>
            </w:pPr>
            <w:r>
              <w:rPr>
                <w:rFonts w:ascii="Times New Roman" w:hAnsi="Times New Roman"/>
                <w:color w:val="000000"/>
                <w:sz w:val="24"/>
              </w:rPr>
              <w:t>444</w:t>
            </w:r>
          </w:p>
        </w:tc>
      </w:tr>
      <w:tr w14:paraId="369D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1607B127">
            <w:pPr>
              <w:jc w:val="center"/>
              <w:rPr>
                <w:rFonts w:ascii="Times New Roman" w:hAnsi="Times New Roman"/>
                <w:color w:val="000000"/>
                <w:sz w:val="24"/>
              </w:rPr>
            </w:pPr>
            <w:r>
              <w:rPr>
                <w:rFonts w:ascii="Times New Roman" w:hAnsi="Times New Roman"/>
                <w:color w:val="000000"/>
                <w:sz w:val="24"/>
              </w:rPr>
              <w:t>5</w:t>
            </w:r>
          </w:p>
        </w:tc>
        <w:tc>
          <w:tcPr>
            <w:tcW w:w="4733" w:type="dxa"/>
            <w:shd w:val="clear" w:color="auto" w:fill="FFFFFF"/>
            <w:vAlign w:val="center"/>
          </w:tcPr>
          <w:p w14:paraId="584ADB43">
            <w:pPr>
              <w:jc w:val="center"/>
              <w:rPr>
                <w:rFonts w:ascii="Times New Roman" w:hAnsi="Times New Roman" w:eastAsia="仿宋"/>
                <w:color w:val="000000"/>
                <w:sz w:val="24"/>
              </w:rPr>
            </w:pPr>
            <w:r>
              <w:rPr>
                <w:rFonts w:ascii="Times New Roman" w:hAnsi="Times New Roman" w:eastAsia="仿宋"/>
                <w:color w:val="000000"/>
                <w:sz w:val="24"/>
              </w:rPr>
              <w:t>广州信仁房地产销售代理有限公司</w:t>
            </w:r>
          </w:p>
        </w:tc>
        <w:tc>
          <w:tcPr>
            <w:tcW w:w="2667" w:type="dxa"/>
            <w:shd w:val="clear" w:color="auto" w:fill="FFFFFF"/>
            <w:vAlign w:val="center"/>
          </w:tcPr>
          <w:p w14:paraId="0CE7CD0E">
            <w:pPr>
              <w:jc w:val="center"/>
              <w:rPr>
                <w:rFonts w:ascii="Times New Roman" w:hAnsi="Times New Roman"/>
                <w:color w:val="000000"/>
                <w:sz w:val="24"/>
              </w:rPr>
            </w:pPr>
            <w:r>
              <w:rPr>
                <w:rFonts w:ascii="Times New Roman" w:hAnsi="Times New Roman"/>
                <w:color w:val="000000"/>
                <w:sz w:val="24"/>
              </w:rPr>
              <w:t>275</w:t>
            </w:r>
          </w:p>
        </w:tc>
      </w:tr>
      <w:tr w14:paraId="722F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0ED8F0BE">
            <w:pPr>
              <w:jc w:val="center"/>
              <w:rPr>
                <w:rFonts w:ascii="Times New Roman" w:hAnsi="Times New Roman"/>
                <w:color w:val="000000"/>
                <w:sz w:val="24"/>
              </w:rPr>
            </w:pPr>
            <w:r>
              <w:rPr>
                <w:rFonts w:ascii="Times New Roman" w:hAnsi="Times New Roman"/>
                <w:color w:val="000000"/>
                <w:sz w:val="24"/>
              </w:rPr>
              <w:t>6</w:t>
            </w:r>
          </w:p>
        </w:tc>
        <w:tc>
          <w:tcPr>
            <w:tcW w:w="4733" w:type="dxa"/>
            <w:shd w:val="clear" w:color="auto" w:fill="FFFFFF"/>
            <w:vAlign w:val="center"/>
          </w:tcPr>
          <w:p w14:paraId="64DF9C93">
            <w:pPr>
              <w:jc w:val="center"/>
              <w:rPr>
                <w:rFonts w:ascii="Times New Roman" w:hAnsi="Times New Roman" w:eastAsia="仿宋"/>
                <w:color w:val="000000"/>
                <w:sz w:val="24"/>
              </w:rPr>
            </w:pPr>
            <w:r>
              <w:rPr>
                <w:rFonts w:ascii="Times New Roman" w:hAnsi="Times New Roman" w:eastAsia="仿宋"/>
                <w:color w:val="000000"/>
                <w:sz w:val="24"/>
              </w:rPr>
              <w:t>房六六置业(广州)有限公司</w:t>
            </w:r>
          </w:p>
        </w:tc>
        <w:tc>
          <w:tcPr>
            <w:tcW w:w="2667" w:type="dxa"/>
            <w:shd w:val="clear" w:color="auto" w:fill="FFFFFF"/>
            <w:vAlign w:val="center"/>
          </w:tcPr>
          <w:p w14:paraId="26DE847C">
            <w:pPr>
              <w:jc w:val="center"/>
              <w:rPr>
                <w:rFonts w:ascii="Times New Roman" w:hAnsi="Times New Roman"/>
                <w:color w:val="000000"/>
                <w:sz w:val="24"/>
              </w:rPr>
            </w:pPr>
            <w:r>
              <w:rPr>
                <w:rFonts w:ascii="Times New Roman" w:hAnsi="Times New Roman"/>
                <w:color w:val="000000"/>
                <w:sz w:val="24"/>
              </w:rPr>
              <w:t>271</w:t>
            </w:r>
          </w:p>
        </w:tc>
      </w:tr>
      <w:tr w14:paraId="36D9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0F962B77">
            <w:pPr>
              <w:jc w:val="center"/>
              <w:rPr>
                <w:rFonts w:ascii="Times New Roman" w:hAnsi="Times New Roman"/>
                <w:color w:val="000000"/>
                <w:sz w:val="24"/>
              </w:rPr>
            </w:pPr>
            <w:r>
              <w:rPr>
                <w:rFonts w:ascii="Times New Roman" w:hAnsi="Times New Roman"/>
                <w:color w:val="000000"/>
                <w:sz w:val="24"/>
              </w:rPr>
              <w:t>7</w:t>
            </w:r>
          </w:p>
        </w:tc>
        <w:tc>
          <w:tcPr>
            <w:tcW w:w="4733" w:type="dxa"/>
            <w:shd w:val="clear" w:color="auto" w:fill="FFFFFF"/>
            <w:vAlign w:val="center"/>
          </w:tcPr>
          <w:p w14:paraId="4FC2D735">
            <w:pPr>
              <w:jc w:val="center"/>
              <w:rPr>
                <w:rFonts w:ascii="Times New Roman" w:hAnsi="Times New Roman" w:eastAsia="仿宋"/>
                <w:color w:val="000000"/>
                <w:sz w:val="24"/>
              </w:rPr>
            </w:pPr>
            <w:r>
              <w:rPr>
                <w:rFonts w:ascii="Times New Roman" w:hAnsi="Times New Roman" w:eastAsia="仿宋"/>
                <w:color w:val="000000"/>
                <w:sz w:val="24"/>
              </w:rPr>
              <w:t>广州信礼房地产销售代理有限公司</w:t>
            </w:r>
          </w:p>
        </w:tc>
        <w:tc>
          <w:tcPr>
            <w:tcW w:w="2667" w:type="dxa"/>
            <w:shd w:val="clear" w:color="auto" w:fill="FFFFFF"/>
            <w:vAlign w:val="center"/>
          </w:tcPr>
          <w:p w14:paraId="5DA967F0">
            <w:pPr>
              <w:jc w:val="center"/>
              <w:rPr>
                <w:rFonts w:ascii="Times New Roman" w:hAnsi="Times New Roman"/>
                <w:color w:val="000000"/>
                <w:sz w:val="24"/>
              </w:rPr>
            </w:pPr>
            <w:r>
              <w:rPr>
                <w:rFonts w:ascii="Times New Roman" w:hAnsi="Times New Roman"/>
                <w:color w:val="000000"/>
                <w:sz w:val="24"/>
              </w:rPr>
              <w:t>253</w:t>
            </w:r>
          </w:p>
        </w:tc>
      </w:tr>
      <w:tr w14:paraId="3B3C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25A2CA4D">
            <w:pPr>
              <w:jc w:val="center"/>
              <w:rPr>
                <w:rFonts w:ascii="Times New Roman" w:hAnsi="Times New Roman"/>
                <w:color w:val="000000"/>
                <w:sz w:val="24"/>
              </w:rPr>
            </w:pPr>
            <w:r>
              <w:rPr>
                <w:rFonts w:ascii="Times New Roman" w:hAnsi="Times New Roman"/>
                <w:color w:val="000000"/>
                <w:sz w:val="24"/>
              </w:rPr>
              <w:t>8</w:t>
            </w:r>
          </w:p>
        </w:tc>
        <w:tc>
          <w:tcPr>
            <w:tcW w:w="4733" w:type="dxa"/>
            <w:shd w:val="clear" w:color="auto" w:fill="FFFFFF"/>
            <w:vAlign w:val="center"/>
          </w:tcPr>
          <w:p w14:paraId="61FC9369">
            <w:pPr>
              <w:jc w:val="center"/>
              <w:rPr>
                <w:rFonts w:ascii="Times New Roman" w:hAnsi="Times New Roman" w:eastAsia="仿宋"/>
                <w:color w:val="000000"/>
                <w:sz w:val="24"/>
              </w:rPr>
            </w:pPr>
            <w:r>
              <w:rPr>
                <w:rFonts w:ascii="Times New Roman" w:hAnsi="Times New Roman" w:eastAsia="仿宋"/>
                <w:color w:val="000000"/>
                <w:sz w:val="24"/>
              </w:rPr>
              <w:t>广州市宜居房地产代理有限公司</w:t>
            </w:r>
          </w:p>
        </w:tc>
        <w:tc>
          <w:tcPr>
            <w:tcW w:w="2667" w:type="dxa"/>
            <w:shd w:val="clear" w:color="auto" w:fill="FFFFFF"/>
            <w:vAlign w:val="center"/>
          </w:tcPr>
          <w:p w14:paraId="38F3F83E">
            <w:pPr>
              <w:jc w:val="center"/>
              <w:rPr>
                <w:rFonts w:ascii="Times New Roman" w:hAnsi="Times New Roman"/>
                <w:color w:val="000000"/>
                <w:sz w:val="24"/>
              </w:rPr>
            </w:pPr>
            <w:r>
              <w:rPr>
                <w:rFonts w:ascii="Times New Roman" w:hAnsi="Times New Roman"/>
                <w:color w:val="000000"/>
                <w:sz w:val="24"/>
              </w:rPr>
              <w:t>245</w:t>
            </w:r>
          </w:p>
        </w:tc>
      </w:tr>
      <w:tr w14:paraId="7FD1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77072E5A">
            <w:pPr>
              <w:jc w:val="center"/>
              <w:rPr>
                <w:rFonts w:ascii="Times New Roman" w:hAnsi="Times New Roman"/>
                <w:color w:val="000000"/>
                <w:sz w:val="24"/>
              </w:rPr>
            </w:pPr>
            <w:r>
              <w:rPr>
                <w:rFonts w:ascii="Times New Roman" w:hAnsi="Times New Roman"/>
                <w:color w:val="000000"/>
                <w:sz w:val="24"/>
              </w:rPr>
              <w:t>9</w:t>
            </w:r>
          </w:p>
        </w:tc>
        <w:tc>
          <w:tcPr>
            <w:tcW w:w="4733" w:type="dxa"/>
            <w:shd w:val="clear" w:color="auto" w:fill="FFFFFF"/>
            <w:vAlign w:val="center"/>
          </w:tcPr>
          <w:p w14:paraId="2D0BA0DF">
            <w:pPr>
              <w:jc w:val="center"/>
              <w:rPr>
                <w:rFonts w:ascii="Times New Roman" w:hAnsi="Times New Roman" w:eastAsia="仿宋"/>
                <w:color w:val="000000"/>
                <w:sz w:val="24"/>
              </w:rPr>
            </w:pPr>
            <w:r>
              <w:rPr>
                <w:rFonts w:ascii="Times New Roman" w:hAnsi="Times New Roman" w:eastAsia="仿宋"/>
                <w:color w:val="000000"/>
                <w:sz w:val="24"/>
              </w:rPr>
              <w:t>广州市乐有家房产经纪有限公司</w:t>
            </w:r>
          </w:p>
        </w:tc>
        <w:tc>
          <w:tcPr>
            <w:tcW w:w="2667" w:type="dxa"/>
            <w:shd w:val="clear" w:color="auto" w:fill="FFFFFF"/>
            <w:vAlign w:val="center"/>
          </w:tcPr>
          <w:p w14:paraId="21B8ACD9">
            <w:pPr>
              <w:jc w:val="center"/>
              <w:rPr>
                <w:rFonts w:ascii="Times New Roman" w:hAnsi="Times New Roman"/>
                <w:color w:val="000000"/>
                <w:sz w:val="24"/>
              </w:rPr>
            </w:pPr>
            <w:r>
              <w:rPr>
                <w:rFonts w:ascii="Times New Roman" w:hAnsi="Times New Roman"/>
                <w:color w:val="000000"/>
                <w:sz w:val="24"/>
              </w:rPr>
              <w:t>208</w:t>
            </w:r>
          </w:p>
        </w:tc>
      </w:tr>
      <w:tr w14:paraId="2E85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42E6424D">
            <w:pPr>
              <w:jc w:val="center"/>
              <w:rPr>
                <w:rFonts w:ascii="Times New Roman" w:hAnsi="Times New Roman"/>
                <w:color w:val="000000"/>
                <w:sz w:val="24"/>
              </w:rPr>
            </w:pPr>
            <w:r>
              <w:rPr>
                <w:rFonts w:ascii="Times New Roman" w:hAnsi="Times New Roman"/>
                <w:color w:val="000000"/>
                <w:sz w:val="24"/>
              </w:rPr>
              <w:t>10</w:t>
            </w:r>
          </w:p>
        </w:tc>
        <w:tc>
          <w:tcPr>
            <w:tcW w:w="4733" w:type="dxa"/>
            <w:shd w:val="clear" w:color="auto" w:fill="FFFFFF"/>
            <w:vAlign w:val="center"/>
          </w:tcPr>
          <w:p w14:paraId="195EEA0E">
            <w:pPr>
              <w:jc w:val="center"/>
              <w:rPr>
                <w:rFonts w:ascii="Times New Roman" w:hAnsi="Times New Roman" w:eastAsia="仿宋"/>
                <w:color w:val="000000"/>
                <w:sz w:val="24"/>
              </w:rPr>
            </w:pPr>
            <w:r>
              <w:rPr>
                <w:rFonts w:ascii="Times New Roman" w:hAnsi="Times New Roman" w:eastAsia="仿宋"/>
                <w:color w:val="000000"/>
                <w:sz w:val="24"/>
              </w:rPr>
              <w:t>广州礼德房地产销售代理有限公司</w:t>
            </w:r>
          </w:p>
        </w:tc>
        <w:tc>
          <w:tcPr>
            <w:tcW w:w="2667" w:type="dxa"/>
            <w:shd w:val="clear" w:color="auto" w:fill="FFFFFF"/>
            <w:vAlign w:val="center"/>
          </w:tcPr>
          <w:p w14:paraId="30C52550">
            <w:pPr>
              <w:jc w:val="center"/>
              <w:rPr>
                <w:rFonts w:ascii="Times New Roman" w:hAnsi="Times New Roman"/>
                <w:color w:val="000000"/>
                <w:sz w:val="24"/>
              </w:rPr>
            </w:pPr>
            <w:r>
              <w:rPr>
                <w:rFonts w:ascii="Times New Roman" w:hAnsi="Times New Roman"/>
                <w:color w:val="000000"/>
                <w:sz w:val="24"/>
              </w:rPr>
              <w:t>191</w:t>
            </w:r>
          </w:p>
        </w:tc>
      </w:tr>
      <w:tr w14:paraId="65C9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33DB2A79">
            <w:pPr>
              <w:jc w:val="center"/>
              <w:rPr>
                <w:rFonts w:ascii="Times New Roman" w:hAnsi="Times New Roman"/>
                <w:color w:val="000000"/>
                <w:sz w:val="24"/>
              </w:rPr>
            </w:pPr>
            <w:r>
              <w:rPr>
                <w:rFonts w:ascii="Times New Roman" w:hAnsi="Times New Roman"/>
                <w:color w:val="000000"/>
                <w:sz w:val="24"/>
              </w:rPr>
              <w:t>11</w:t>
            </w:r>
          </w:p>
        </w:tc>
        <w:tc>
          <w:tcPr>
            <w:tcW w:w="4733" w:type="dxa"/>
            <w:shd w:val="clear" w:color="auto" w:fill="FFFFFF"/>
            <w:vAlign w:val="center"/>
          </w:tcPr>
          <w:p w14:paraId="799B56F6">
            <w:pPr>
              <w:jc w:val="center"/>
              <w:rPr>
                <w:rFonts w:ascii="Times New Roman" w:hAnsi="Times New Roman" w:eastAsia="仿宋"/>
                <w:color w:val="000000"/>
                <w:sz w:val="24"/>
              </w:rPr>
            </w:pPr>
            <w:r>
              <w:rPr>
                <w:rFonts w:ascii="Times New Roman" w:hAnsi="Times New Roman" w:eastAsia="仿宋"/>
                <w:color w:val="000000"/>
                <w:sz w:val="24"/>
              </w:rPr>
              <w:t>广州裕丰咨询顾问有限公司</w:t>
            </w:r>
          </w:p>
        </w:tc>
        <w:tc>
          <w:tcPr>
            <w:tcW w:w="2667" w:type="dxa"/>
            <w:shd w:val="clear" w:color="auto" w:fill="FFFFFF"/>
            <w:vAlign w:val="center"/>
          </w:tcPr>
          <w:p w14:paraId="690B6C24">
            <w:pPr>
              <w:jc w:val="center"/>
              <w:rPr>
                <w:rFonts w:ascii="Times New Roman" w:hAnsi="Times New Roman"/>
                <w:color w:val="000000"/>
                <w:sz w:val="24"/>
              </w:rPr>
            </w:pPr>
            <w:r>
              <w:rPr>
                <w:rFonts w:ascii="Times New Roman" w:hAnsi="Times New Roman"/>
                <w:color w:val="000000"/>
                <w:sz w:val="24"/>
              </w:rPr>
              <w:t>187</w:t>
            </w:r>
          </w:p>
        </w:tc>
      </w:tr>
      <w:tr w14:paraId="5CAD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572D7D7E">
            <w:pPr>
              <w:jc w:val="center"/>
              <w:rPr>
                <w:rFonts w:ascii="Times New Roman" w:hAnsi="Times New Roman"/>
                <w:color w:val="000000"/>
                <w:sz w:val="24"/>
              </w:rPr>
            </w:pPr>
            <w:r>
              <w:rPr>
                <w:rFonts w:ascii="Times New Roman" w:hAnsi="Times New Roman"/>
                <w:color w:val="000000"/>
                <w:sz w:val="24"/>
              </w:rPr>
              <w:t>12</w:t>
            </w:r>
          </w:p>
        </w:tc>
        <w:tc>
          <w:tcPr>
            <w:tcW w:w="4733" w:type="dxa"/>
            <w:shd w:val="clear" w:color="auto" w:fill="FFFFFF"/>
            <w:vAlign w:val="center"/>
          </w:tcPr>
          <w:p w14:paraId="61ADDB7E">
            <w:pPr>
              <w:jc w:val="center"/>
              <w:rPr>
                <w:rFonts w:ascii="Times New Roman" w:hAnsi="Times New Roman" w:eastAsia="仿宋"/>
                <w:color w:val="000000"/>
                <w:sz w:val="24"/>
              </w:rPr>
            </w:pPr>
            <w:r>
              <w:rPr>
                <w:rFonts w:ascii="Times New Roman" w:hAnsi="Times New Roman" w:eastAsia="仿宋"/>
                <w:color w:val="000000"/>
                <w:sz w:val="24"/>
              </w:rPr>
              <w:t>广州仁隆房地产销售代理有限公司</w:t>
            </w:r>
          </w:p>
        </w:tc>
        <w:tc>
          <w:tcPr>
            <w:tcW w:w="2667" w:type="dxa"/>
            <w:shd w:val="clear" w:color="auto" w:fill="FFFFFF"/>
            <w:vAlign w:val="center"/>
          </w:tcPr>
          <w:p w14:paraId="639D4514">
            <w:pPr>
              <w:jc w:val="center"/>
              <w:rPr>
                <w:rFonts w:ascii="Times New Roman" w:hAnsi="Times New Roman"/>
                <w:color w:val="000000"/>
                <w:sz w:val="24"/>
              </w:rPr>
            </w:pPr>
            <w:r>
              <w:rPr>
                <w:rFonts w:ascii="Times New Roman" w:hAnsi="Times New Roman"/>
                <w:color w:val="000000"/>
                <w:sz w:val="24"/>
              </w:rPr>
              <w:t>182</w:t>
            </w:r>
          </w:p>
        </w:tc>
      </w:tr>
      <w:tr w14:paraId="775D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26F530E4">
            <w:pPr>
              <w:jc w:val="center"/>
              <w:rPr>
                <w:rFonts w:ascii="Times New Roman" w:hAnsi="Times New Roman"/>
                <w:color w:val="000000"/>
                <w:sz w:val="24"/>
              </w:rPr>
            </w:pPr>
            <w:r>
              <w:rPr>
                <w:rFonts w:ascii="Times New Roman" w:hAnsi="Times New Roman"/>
                <w:color w:val="000000"/>
                <w:sz w:val="24"/>
              </w:rPr>
              <w:t>13</w:t>
            </w:r>
          </w:p>
        </w:tc>
        <w:tc>
          <w:tcPr>
            <w:tcW w:w="4733" w:type="dxa"/>
            <w:shd w:val="clear" w:color="auto" w:fill="FFFFFF"/>
            <w:vAlign w:val="center"/>
          </w:tcPr>
          <w:p w14:paraId="093E2DC4">
            <w:pPr>
              <w:jc w:val="center"/>
              <w:rPr>
                <w:rFonts w:ascii="Times New Roman" w:hAnsi="Times New Roman" w:eastAsia="仿宋"/>
                <w:color w:val="000000"/>
                <w:sz w:val="24"/>
              </w:rPr>
            </w:pPr>
            <w:r>
              <w:rPr>
                <w:rFonts w:ascii="Times New Roman" w:hAnsi="Times New Roman" w:eastAsia="仿宋"/>
                <w:color w:val="000000"/>
                <w:sz w:val="24"/>
              </w:rPr>
              <w:t>广州丽兹行房地产顾问有限公司</w:t>
            </w:r>
          </w:p>
        </w:tc>
        <w:tc>
          <w:tcPr>
            <w:tcW w:w="2667" w:type="dxa"/>
            <w:shd w:val="clear" w:color="auto" w:fill="FFFFFF"/>
            <w:vAlign w:val="center"/>
          </w:tcPr>
          <w:p w14:paraId="75B5A8C8">
            <w:pPr>
              <w:jc w:val="center"/>
              <w:rPr>
                <w:rFonts w:ascii="Times New Roman" w:hAnsi="Times New Roman"/>
                <w:color w:val="000000"/>
                <w:sz w:val="24"/>
              </w:rPr>
            </w:pPr>
            <w:r>
              <w:rPr>
                <w:rFonts w:ascii="Times New Roman" w:hAnsi="Times New Roman"/>
                <w:color w:val="000000"/>
                <w:sz w:val="24"/>
              </w:rPr>
              <w:t>166</w:t>
            </w:r>
          </w:p>
        </w:tc>
      </w:tr>
      <w:tr w14:paraId="2AAF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775BB8BE">
            <w:pPr>
              <w:jc w:val="center"/>
              <w:rPr>
                <w:rFonts w:ascii="Times New Roman" w:hAnsi="Times New Roman"/>
                <w:color w:val="000000"/>
                <w:sz w:val="24"/>
              </w:rPr>
            </w:pPr>
            <w:r>
              <w:rPr>
                <w:rFonts w:ascii="Times New Roman" w:hAnsi="Times New Roman"/>
                <w:color w:val="000000"/>
                <w:sz w:val="24"/>
              </w:rPr>
              <w:t>14</w:t>
            </w:r>
          </w:p>
        </w:tc>
        <w:tc>
          <w:tcPr>
            <w:tcW w:w="4733" w:type="dxa"/>
            <w:shd w:val="clear" w:color="auto" w:fill="FFFFFF"/>
            <w:vAlign w:val="center"/>
          </w:tcPr>
          <w:p w14:paraId="24122C3E">
            <w:pPr>
              <w:jc w:val="center"/>
              <w:rPr>
                <w:rFonts w:ascii="Times New Roman" w:hAnsi="Times New Roman" w:eastAsia="仿宋"/>
                <w:color w:val="000000"/>
                <w:sz w:val="24"/>
              </w:rPr>
            </w:pPr>
            <w:r>
              <w:rPr>
                <w:rFonts w:ascii="Times New Roman" w:hAnsi="Times New Roman" w:eastAsia="仿宋"/>
                <w:color w:val="000000"/>
                <w:sz w:val="24"/>
              </w:rPr>
              <w:t>合富辉煌(中国)房地产顾问有限公司</w:t>
            </w:r>
          </w:p>
        </w:tc>
        <w:tc>
          <w:tcPr>
            <w:tcW w:w="2667" w:type="dxa"/>
            <w:shd w:val="clear" w:color="auto" w:fill="FFFFFF"/>
            <w:vAlign w:val="center"/>
          </w:tcPr>
          <w:p w14:paraId="1057FB8D">
            <w:pPr>
              <w:jc w:val="center"/>
              <w:rPr>
                <w:rFonts w:ascii="Times New Roman" w:hAnsi="Times New Roman"/>
                <w:color w:val="000000"/>
                <w:sz w:val="24"/>
              </w:rPr>
            </w:pPr>
            <w:r>
              <w:rPr>
                <w:rFonts w:ascii="Times New Roman" w:hAnsi="Times New Roman"/>
                <w:color w:val="000000"/>
                <w:sz w:val="24"/>
              </w:rPr>
              <w:t>153</w:t>
            </w:r>
          </w:p>
        </w:tc>
      </w:tr>
      <w:tr w14:paraId="2948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14358443">
            <w:pPr>
              <w:jc w:val="center"/>
              <w:rPr>
                <w:rFonts w:ascii="Times New Roman" w:hAnsi="Times New Roman"/>
                <w:color w:val="000000"/>
                <w:sz w:val="24"/>
              </w:rPr>
            </w:pPr>
            <w:r>
              <w:rPr>
                <w:rFonts w:ascii="Times New Roman" w:hAnsi="Times New Roman"/>
                <w:color w:val="000000"/>
                <w:sz w:val="24"/>
              </w:rPr>
              <w:t>15</w:t>
            </w:r>
          </w:p>
        </w:tc>
        <w:tc>
          <w:tcPr>
            <w:tcW w:w="4733" w:type="dxa"/>
            <w:shd w:val="clear" w:color="auto" w:fill="FFFFFF"/>
            <w:vAlign w:val="center"/>
          </w:tcPr>
          <w:p w14:paraId="1671F523">
            <w:pPr>
              <w:jc w:val="center"/>
              <w:rPr>
                <w:rFonts w:ascii="Times New Roman" w:hAnsi="Times New Roman" w:eastAsia="仿宋"/>
                <w:color w:val="000000"/>
                <w:sz w:val="24"/>
              </w:rPr>
            </w:pPr>
            <w:r>
              <w:rPr>
                <w:rFonts w:ascii="Times New Roman" w:hAnsi="Times New Roman" w:eastAsia="仿宋"/>
                <w:color w:val="000000"/>
                <w:sz w:val="24"/>
              </w:rPr>
              <w:t>广州明昇房地产销售代理有限公司</w:t>
            </w:r>
          </w:p>
        </w:tc>
        <w:tc>
          <w:tcPr>
            <w:tcW w:w="2667" w:type="dxa"/>
            <w:shd w:val="clear" w:color="auto" w:fill="FFFFFF"/>
            <w:vAlign w:val="center"/>
          </w:tcPr>
          <w:p w14:paraId="55203539">
            <w:pPr>
              <w:jc w:val="center"/>
              <w:rPr>
                <w:rFonts w:ascii="Times New Roman" w:hAnsi="Times New Roman"/>
                <w:color w:val="000000"/>
                <w:sz w:val="24"/>
              </w:rPr>
            </w:pPr>
            <w:r>
              <w:rPr>
                <w:rFonts w:ascii="Times New Roman" w:hAnsi="Times New Roman"/>
                <w:color w:val="000000"/>
                <w:sz w:val="24"/>
              </w:rPr>
              <w:t>127</w:t>
            </w:r>
          </w:p>
        </w:tc>
      </w:tr>
      <w:tr w14:paraId="24D9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77F8692B">
            <w:pPr>
              <w:jc w:val="center"/>
              <w:rPr>
                <w:rFonts w:ascii="Times New Roman" w:hAnsi="Times New Roman"/>
                <w:color w:val="000000"/>
                <w:sz w:val="24"/>
              </w:rPr>
            </w:pPr>
            <w:r>
              <w:rPr>
                <w:rFonts w:ascii="Times New Roman" w:hAnsi="Times New Roman"/>
                <w:color w:val="000000"/>
                <w:sz w:val="24"/>
              </w:rPr>
              <w:t>16</w:t>
            </w:r>
          </w:p>
        </w:tc>
        <w:tc>
          <w:tcPr>
            <w:tcW w:w="4733" w:type="dxa"/>
            <w:shd w:val="clear" w:color="auto" w:fill="FFFFFF"/>
            <w:vAlign w:val="center"/>
          </w:tcPr>
          <w:p w14:paraId="62C4C37D">
            <w:pPr>
              <w:jc w:val="center"/>
              <w:rPr>
                <w:rFonts w:ascii="Times New Roman" w:hAnsi="Times New Roman" w:eastAsia="仿宋"/>
                <w:color w:val="000000"/>
                <w:sz w:val="24"/>
              </w:rPr>
            </w:pPr>
            <w:r>
              <w:rPr>
                <w:rFonts w:ascii="Times New Roman" w:hAnsi="Times New Roman" w:eastAsia="仿宋"/>
                <w:color w:val="000000"/>
                <w:sz w:val="24"/>
              </w:rPr>
              <w:t>广州仁辉房地产销售代理有限公司</w:t>
            </w:r>
          </w:p>
        </w:tc>
        <w:tc>
          <w:tcPr>
            <w:tcW w:w="2667" w:type="dxa"/>
            <w:shd w:val="clear" w:color="auto" w:fill="FFFFFF"/>
            <w:vAlign w:val="center"/>
          </w:tcPr>
          <w:p w14:paraId="0E30BA93">
            <w:pPr>
              <w:jc w:val="center"/>
              <w:rPr>
                <w:rFonts w:ascii="Times New Roman" w:hAnsi="Times New Roman"/>
                <w:color w:val="000000"/>
                <w:sz w:val="24"/>
              </w:rPr>
            </w:pPr>
            <w:r>
              <w:rPr>
                <w:rFonts w:ascii="Times New Roman" w:hAnsi="Times New Roman"/>
                <w:color w:val="000000"/>
                <w:sz w:val="24"/>
              </w:rPr>
              <w:t>120</w:t>
            </w:r>
          </w:p>
        </w:tc>
      </w:tr>
      <w:tr w14:paraId="6D76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070B3555">
            <w:pPr>
              <w:jc w:val="center"/>
              <w:rPr>
                <w:rFonts w:ascii="Times New Roman" w:hAnsi="Times New Roman"/>
                <w:color w:val="000000"/>
                <w:sz w:val="24"/>
              </w:rPr>
            </w:pPr>
            <w:r>
              <w:rPr>
                <w:rFonts w:ascii="Times New Roman" w:hAnsi="Times New Roman"/>
                <w:color w:val="000000"/>
                <w:sz w:val="24"/>
              </w:rPr>
              <w:t>17</w:t>
            </w:r>
          </w:p>
        </w:tc>
        <w:tc>
          <w:tcPr>
            <w:tcW w:w="4733" w:type="dxa"/>
            <w:shd w:val="clear" w:color="auto" w:fill="FFFFFF"/>
            <w:vAlign w:val="center"/>
          </w:tcPr>
          <w:p w14:paraId="2DA66C77">
            <w:pPr>
              <w:jc w:val="center"/>
              <w:rPr>
                <w:rFonts w:ascii="Times New Roman" w:hAnsi="Times New Roman" w:eastAsia="仿宋"/>
                <w:color w:val="000000"/>
                <w:sz w:val="24"/>
              </w:rPr>
            </w:pPr>
            <w:r>
              <w:rPr>
                <w:rFonts w:ascii="Times New Roman" w:hAnsi="Times New Roman" w:eastAsia="仿宋"/>
                <w:color w:val="000000"/>
                <w:sz w:val="24"/>
              </w:rPr>
              <w:t>广州市置家房地产代理有限公司</w:t>
            </w:r>
          </w:p>
        </w:tc>
        <w:tc>
          <w:tcPr>
            <w:tcW w:w="2667" w:type="dxa"/>
            <w:shd w:val="clear" w:color="auto" w:fill="FFFFFF"/>
            <w:vAlign w:val="center"/>
          </w:tcPr>
          <w:p w14:paraId="526254C9">
            <w:pPr>
              <w:jc w:val="center"/>
              <w:rPr>
                <w:rFonts w:ascii="Times New Roman" w:hAnsi="Times New Roman"/>
                <w:color w:val="000000"/>
                <w:sz w:val="24"/>
              </w:rPr>
            </w:pPr>
            <w:r>
              <w:rPr>
                <w:rFonts w:ascii="Times New Roman" w:hAnsi="Times New Roman"/>
                <w:color w:val="000000"/>
                <w:sz w:val="24"/>
              </w:rPr>
              <w:t>103</w:t>
            </w:r>
          </w:p>
        </w:tc>
      </w:tr>
      <w:tr w14:paraId="2B18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0FA3572D">
            <w:pPr>
              <w:jc w:val="center"/>
              <w:rPr>
                <w:rFonts w:ascii="Times New Roman" w:hAnsi="Times New Roman"/>
                <w:color w:val="000000"/>
                <w:sz w:val="24"/>
              </w:rPr>
            </w:pPr>
            <w:r>
              <w:rPr>
                <w:rFonts w:ascii="Times New Roman" w:hAnsi="Times New Roman"/>
                <w:color w:val="000000"/>
                <w:sz w:val="24"/>
              </w:rPr>
              <w:t>18</w:t>
            </w:r>
          </w:p>
        </w:tc>
        <w:tc>
          <w:tcPr>
            <w:tcW w:w="4733" w:type="dxa"/>
            <w:shd w:val="clear" w:color="auto" w:fill="FFFFFF"/>
            <w:vAlign w:val="center"/>
          </w:tcPr>
          <w:p w14:paraId="5E9CB7C6">
            <w:pPr>
              <w:jc w:val="center"/>
              <w:rPr>
                <w:rFonts w:ascii="Times New Roman" w:hAnsi="Times New Roman" w:eastAsia="仿宋"/>
                <w:color w:val="000000"/>
                <w:sz w:val="24"/>
              </w:rPr>
            </w:pPr>
            <w:r>
              <w:rPr>
                <w:rFonts w:ascii="Times New Roman" w:hAnsi="Times New Roman" w:eastAsia="仿宋"/>
                <w:color w:val="000000"/>
                <w:sz w:val="24"/>
              </w:rPr>
              <w:t>广州裕博房地产销售代理有限公司</w:t>
            </w:r>
          </w:p>
        </w:tc>
        <w:tc>
          <w:tcPr>
            <w:tcW w:w="2667" w:type="dxa"/>
            <w:shd w:val="clear" w:color="auto" w:fill="FFFFFF"/>
            <w:vAlign w:val="center"/>
          </w:tcPr>
          <w:p w14:paraId="0CB570C9">
            <w:pPr>
              <w:jc w:val="center"/>
              <w:rPr>
                <w:rFonts w:ascii="Times New Roman" w:hAnsi="Times New Roman"/>
                <w:color w:val="000000"/>
                <w:sz w:val="24"/>
              </w:rPr>
            </w:pPr>
            <w:r>
              <w:rPr>
                <w:rFonts w:ascii="Times New Roman" w:hAnsi="Times New Roman"/>
                <w:color w:val="000000"/>
                <w:sz w:val="24"/>
              </w:rPr>
              <w:t>99</w:t>
            </w:r>
          </w:p>
        </w:tc>
      </w:tr>
      <w:tr w14:paraId="36CC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6C9C7DBA">
            <w:pPr>
              <w:jc w:val="center"/>
              <w:rPr>
                <w:rFonts w:ascii="Times New Roman" w:hAnsi="Times New Roman"/>
                <w:color w:val="000000"/>
                <w:sz w:val="24"/>
              </w:rPr>
            </w:pPr>
            <w:r>
              <w:rPr>
                <w:rFonts w:ascii="Times New Roman" w:hAnsi="Times New Roman"/>
                <w:color w:val="000000"/>
                <w:sz w:val="24"/>
              </w:rPr>
              <w:t>19</w:t>
            </w:r>
          </w:p>
        </w:tc>
        <w:tc>
          <w:tcPr>
            <w:tcW w:w="4733" w:type="dxa"/>
            <w:shd w:val="clear" w:color="auto" w:fill="FFFFFF"/>
            <w:vAlign w:val="center"/>
          </w:tcPr>
          <w:p w14:paraId="157A8340">
            <w:pPr>
              <w:jc w:val="center"/>
              <w:rPr>
                <w:rFonts w:ascii="Times New Roman" w:hAnsi="Times New Roman" w:eastAsia="仿宋"/>
                <w:color w:val="000000"/>
                <w:sz w:val="24"/>
              </w:rPr>
            </w:pPr>
            <w:r>
              <w:rPr>
                <w:rFonts w:ascii="Times New Roman" w:hAnsi="Times New Roman" w:eastAsia="仿宋"/>
                <w:color w:val="000000"/>
                <w:sz w:val="24"/>
              </w:rPr>
              <w:t>广州华江置业有限公司</w:t>
            </w:r>
          </w:p>
        </w:tc>
        <w:tc>
          <w:tcPr>
            <w:tcW w:w="2667" w:type="dxa"/>
            <w:shd w:val="clear" w:color="auto" w:fill="FFFFFF"/>
            <w:vAlign w:val="center"/>
          </w:tcPr>
          <w:p w14:paraId="777E252B">
            <w:pPr>
              <w:jc w:val="center"/>
              <w:rPr>
                <w:rFonts w:ascii="Times New Roman" w:hAnsi="Times New Roman"/>
                <w:color w:val="000000"/>
                <w:sz w:val="24"/>
              </w:rPr>
            </w:pPr>
            <w:r>
              <w:rPr>
                <w:rFonts w:ascii="Times New Roman" w:hAnsi="Times New Roman"/>
                <w:color w:val="000000"/>
                <w:sz w:val="24"/>
              </w:rPr>
              <w:t>92</w:t>
            </w:r>
          </w:p>
        </w:tc>
      </w:tr>
      <w:tr w14:paraId="5347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shd w:val="clear" w:color="auto" w:fill="FFFFFF"/>
            <w:vAlign w:val="center"/>
          </w:tcPr>
          <w:p w14:paraId="46D4E1B3">
            <w:pPr>
              <w:jc w:val="center"/>
              <w:rPr>
                <w:rFonts w:ascii="Times New Roman" w:hAnsi="Times New Roman"/>
                <w:color w:val="000000"/>
                <w:sz w:val="24"/>
              </w:rPr>
            </w:pPr>
            <w:r>
              <w:rPr>
                <w:rFonts w:ascii="Times New Roman" w:hAnsi="Times New Roman"/>
                <w:color w:val="000000"/>
                <w:sz w:val="24"/>
              </w:rPr>
              <w:t>20</w:t>
            </w:r>
          </w:p>
        </w:tc>
        <w:tc>
          <w:tcPr>
            <w:tcW w:w="4733" w:type="dxa"/>
            <w:shd w:val="clear" w:color="auto" w:fill="FFFFFF"/>
            <w:vAlign w:val="center"/>
          </w:tcPr>
          <w:p w14:paraId="55C9B88B">
            <w:pPr>
              <w:jc w:val="center"/>
              <w:rPr>
                <w:rFonts w:ascii="Times New Roman" w:hAnsi="Times New Roman" w:eastAsia="仿宋"/>
                <w:color w:val="000000"/>
                <w:sz w:val="24"/>
              </w:rPr>
            </w:pPr>
            <w:r>
              <w:rPr>
                <w:rFonts w:ascii="Times New Roman" w:hAnsi="Times New Roman" w:eastAsia="仿宋"/>
                <w:color w:val="000000"/>
                <w:sz w:val="24"/>
              </w:rPr>
              <w:t>广州越秀兴业地产代理有限公司</w:t>
            </w:r>
          </w:p>
        </w:tc>
        <w:tc>
          <w:tcPr>
            <w:tcW w:w="2667" w:type="dxa"/>
            <w:shd w:val="clear" w:color="auto" w:fill="FFFFFF"/>
            <w:vAlign w:val="center"/>
          </w:tcPr>
          <w:p w14:paraId="78440BDD">
            <w:pPr>
              <w:jc w:val="center"/>
              <w:rPr>
                <w:rFonts w:ascii="Times New Roman" w:hAnsi="Times New Roman"/>
                <w:color w:val="000000"/>
                <w:sz w:val="24"/>
              </w:rPr>
            </w:pPr>
            <w:r>
              <w:rPr>
                <w:rFonts w:ascii="Times New Roman" w:hAnsi="Times New Roman"/>
                <w:color w:val="000000"/>
                <w:sz w:val="24"/>
              </w:rPr>
              <w:t>86</w:t>
            </w:r>
          </w:p>
        </w:tc>
      </w:tr>
    </w:tbl>
    <w:p w14:paraId="3D2E2ECC">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074D4BD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bookmarkStart w:id="15" w:name="OLE_LINK21"/>
      <w:bookmarkStart w:id="16" w:name="OLE_LINK22"/>
      <w:r>
        <w:rPr>
          <w:rFonts w:ascii="Times New Roman" w:hAnsi="Times New Roman" w:eastAsia="仿宋_GB2312"/>
          <w:color w:val="000000" w:themeColor="text1"/>
          <w:kern w:val="0"/>
          <w:sz w:val="32"/>
          <w:szCs w:val="32"/>
          <w14:textFill>
            <w14:solidFill>
              <w14:schemeClr w14:val="tx1"/>
            </w14:solidFill>
          </w14:textFill>
        </w:rPr>
        <w:t>因为技术变革</w:t>
      </w:r>
      <w:r>
        <w:rPr>
          <w:rFonts w:hint="eastAsia" w:ascii="Times New Roman" w:hAnsi="Times New Roman" w:eastAsia="仿宋_GB2312"/>
          <w:color w:val="000000" w:themeColor="text1"/>
          <w:kern w:val="0"/>
          <w:sz w:val="32"/>
          <w:szCs w:val="32"/>
          <w:lang w:val="zh-TW"/>
          <w14:textFill>
            <w14:solidFill>
              <w14:schemeClr w14:val="tx1"/>
            </w14:solidFill>
          </w14:textFill>
        </w:rPr>
        <w:t>，懂得利用</w:t>
      </w:r>
      <w:r>
        <w:rPr>
          <w:rFonts w:ascii="Times New Roman" w:hAnsi="Times New Roman" w:eastAsia="仿宋_GB2312"/>
          <w:color w:val="000000" w:themeColor="text1"/>
          <w:kern w:val="0"/>
          <w:sz w:val="32"/>
          <w:szCs w:val="32"/>
          <w:lang w:val="zh-TW"/>
          <w14:textFill>
            <w14:solidFill>
              <w14:schemeClr w14:val="tx1"/>
            </w14:solidFill>
          </w14:textFill>
        </w:rPr>
        <w:t>AI</w:t>
      </w:r>
      <w:r>
        <w:rPr>
          <w:rFonts w:hint="eastAsia" w:ascii="Times New Roman" w:hAnsi="Times New Roman" w:eastAsia="仿宋_GB2312"/>
          <w:color w:val="000000" w:themeColor="text1"/>
          <w:kern w:val="0"/>
          <w:sz w:val="32"/>
          <w:szCs w:val="32"/>
          <w:lang w:val="zh-TW"/>
          <w14:textFill>
            <w14:solidFill>
              <w14:schemeClr w14:val="tx1"/>
            </w14:solidFill>
          </w14:textFill>
        </w:rPr>
        <w:t>房源匹配、</w:t>
      </w:r>
      <w:r>
        <w:rPr>
          <w:rFonts w:ascii="Times New Roman" w:hAnsi="Times New Roman" w:eastAsia="仿宋_GB2312"/>
          <w:color w:val="000000" w:themeColor="text1"/>
          <w:kern w:val="0"/>
          <w:sz w:val="32"/>
          <w:szCs w:val="32"/>
          <w:lang w:val="zh-TW"/>
          <w14:textFill>
            <w14:solidFill>
              <w14:schemeClr w14:val="tx1"/>
            </w14:solidFill>
          </w14:textFill>
        </w:rPr>
        <w:t>VR</w:t>
      </w:r>
      <w:r>
        <w:rPr>
          <w:rFonts w:hint="eastAsia" w:ascii="Times New Roman" w:hAnsi="Times New Roman" w:eastAsia="仿宋_GB2312"/>
          <w:color w:val="000000" w:themeColor="text1"/>
          <w:kern w:val="0"/>
          <w:sz w:val="32"/>
          <w:szCs w:val="32"/>
          <w:lang w:val="zh-TW"/>
          <w14:textFill>
            <w14:solidFill>
              <w14:schemeClr w14:val="tx1"/>
            </w14:solidFill>
          </w14:textFill>
        </w:rPr>
        <w:t>看房等工具提升服务效率的从业人员会</w:t>
      </w:r>
      <w:r>
        <w:rPr>
          <w:rFonts w:hint="eastAsia" w:ascii="Times New Roman" w:hAnsi="Times New Roman" w:eastAsia="仿宋_GB2312"/>
          <w:color w:val="000000" w:themeColor="text1"/>
          <w:kern w:val="0"/>
          <w:sz w:val="32"/>
          <w:szCs w:val="32"/>
          <w14:textFill>
            <w14:solidFill>
              <w14:schemeClr w14:val="tx1"/>
            </w14:solidFill>
          </w14:textFill>
        </w:rPr>
        <w:t>更</w:t>
      </w:r>
      <w:r>
        <w:rPr>
          <w:rFonts w:hint="eastAsia" w:ascii="Times New Roman" w:hAnsi="Times New Roman" w:eastAsia="仿宋_GB2312"/>
          <w:color w:val="000000" w:themeColor="text1"/>
          <w:kern w:val="0"/>
          <w:sz w:val="32"/>
          <w:szCs w:val="32"/>
          <w:lang w:val="zh-TW"/>
          <w14:textFill>
            <w14:solidFill>
              <w14:schemeClr w14:val="tx1"/>
            </w14:solidFill>
          </w14:textFill>
        </w:rPr>
        <w:t>受</w:t>
      </w:r>
      <w:r>
        <w:rPr>
          <w:rFonts w:ascii="Times New Roman" w:hAnsi="Times New Roman" w:eastAsia="仿宋_GB2312"/>
          <w:color w:val="000000" w:themeColor="text1"/>
          <w:kern w:val="0"/>
          <w:sz w:val="32"/>
          <w:szCs w:val="32"/>
          <w14:textFill>
            <w14:solidFill>
              <w14:schemeClr w14:val="tx1"/>
            </w14:solidFill>
          </w14:textFill>
        </w:rPr>
        <w:t>客户</w:t>
      </w:r>
      <w:r>
        <w:rPr>
          <w:rFonts w:hint="eastAsia" w:ascii="Times New Roman" w:hAnsi="Times New Roman" w:eastAsia="仿宋_GB2312"/>
          <w:color w:val="000000" w:themeColor="text1"/>
          <w:kern w:val="0"/>
          <w:sz w:val="32"/>
          <w:szCs w:val="32"/>
          <w:lang w:val="zh-TW"/>
          <w14:textFill>
            <w14:solidFill>
              <w14:schemeClr w14:val="tx1"/>
            </w14:solidFill>
          </w14:textFill>
        </w:rPr>
        <w:t>青睐。</w:t>
      </w:r>
      <w:r>
        <w:rPr>
          <w:rFonts w:ascii="Times New Roman" w:hAnsi="Times New Roman" w:eastAsia="仿宋_GB2312"/>
          <w:color w:val="000000" w:themeColor="text1"/>
          <w:kern w:val="0"/>
          <w:sz w:val="32"/>
          <w:szCs w:val="32"/>
          <w:lang w:val="zh-TW"/>
          <w14:textFill>
            <w14:solidFill>
              <w14:schemeClr w14:val="tx1"/>
            </w14:solidFill>
          </w14:textFill>
        </w:rPr>
        <w:t>如图</w:t>
      </w:r>
      <w:r>
        <w:rPr>
          <w:rFonts w:hint="eastAsia" w:ascii="Times New Roman" w:hAnsi="Times New Roman" w:eastAsia="仿宋_GB2312"/>
          <w:color w:val="000000" w:themeColor="text1"/>
          <w:kern w:val="0"/>
          <w:sz w:val="32"/>
          <w:szCs w:val="32"/>
          <w14:textFill>
            <w14:solidFill>
              <w14:schemeClr w14:val="tx1"/>
            </w14:solidFill>
          </w14:textFill>
        </w:rPr>
        <w:t>8</w:t>
      </w:r>
      <w:r>
        <w:rPr>
          <w:rFonts w:ascii="Times New Roman" w:hAnsi="Times New Roman" w:eastAsia="仿宋_GB2312"/>
          <w:color w:val="000000" w:themeColor="text1"/>
          <w:kern w:val="0"/>
          <w:sz w:val="32"/>
          <w:szCs w:val="32"/>
          <w:lang w:val="zh-TW"/>
          <w14:textFill>
            <w14:solidFill>
              <w14:schemeClr w14:val="tx1"/>
            </w14:solidFill>
          </w14:textFill>
        </w:rPr>
        <w:t>所示，我市</w:t>
      </w:r>
      <w:r>
        <w:rPr>
          <w:rFonts w:ascii="Times New Roman" w:hAnsi="Times New Roman" w:eastAsia="仿宋_GB2312"/>
          <w:color w:val="000000" w:themeColor="text1"/>
          <w:kern w:val="0"/>
          <w:sz w:val="32"/>
          <w:szCs w:val="32"/>
          <w14:textFill>
            <w14:solidFill>
              <w14:schemeClr w14:val="tx1"/>
            </w14:solidFill>
          </w14:textFill>
        </w:rPr>
        <w:t>近</w:t>
      </w:r>
      <w:r>
        <w:rPr>
          <w:rFonts w:ascii="Times New Roman" w:hAnsi="Times New Roman" w:eastAsia="仿宋_GB2312"/>
          <w:color w:val="000000" w:themeColor="text1"/>
          <w:kern w:val="0"/>
          <w:sz w:val="32"/>
          <w:szCs w:val="32"/>
          <w:lang w:val="zh-TW"/>
          <w14:textFill>
            <w14:solidFill>
              <w14:schemeClr w14:val="tx1"/>
            </w14:solidFill>
          </w14:textFill>
        </w:rPr>
        <w:t>年房地产</w:t>
      </w:r>
      <w:r>
        <w:rPr>
          <w:rFonts w:ascii="Times New Roman" w:hAnsi="Times New Roman" w:eastAsia="仿宋_GB2312"/>
          <w:color w:val="000000" w:themeColor="text1"/>
          <w:kern w:val="0"/>
          <w:sz w:val="32"/>
          <w:szCs w:val="32"/>
          <w14:textFill>
            <w14:solidFill>
              <w14:schemeClr w14:val="tx1"/>
            </w14:solidFill>
          </w14:textFill>
        </w:rPr>
        <w:t>中介人员</w:t>
      </w:r>
      <w:r>
        <w:rPr>
          <w:rFonts w:ascii="Times New Roman" w:hAnsi="Times New Roman" w:eastAsia="仿宋_GB2312"/>
          <w:color w:val="000000" w:themeColor="text1"/>
          <w:kern w:val="0"/>
          <w:sz w:val="32"/>
          <w:szCs w:val="32"/>
          <w:lang w:val="zh-TW"/>
          <w14:textFill>
            <w14:solidFill>
              <w14:schemeClr w14:val="tx1"/>
            </w14:solidFill>
          </w14:textFill>
        </w:rPr>
        <w:t>学历结构持续优化，呈现以下趋势：</w:t>
      </w:r>
    </w:p>
    <w:p w14:paraId="09B25821">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 xml:space="preserve">1. </w:t>
      </w:r>
      <w:r>
        <w:rPr>
          <w:rFonts w:ascii="Times New Roman" w:hAnsi="Times New Roman" w:eastAsia="仿宋_GB2312"/>
          <w:color w:val="000000" w:themeColor="text1"/>
          <w:kern w:val="0"/>
          <w:sz w:val="32"/>
          <w:szCs w:val="32"/>
          <w14:textFill>
            <w14:solidFill>
              <w14:schemeClr w14:val="tx1"/>
            </w14:solidFill>
          </w14:textFill>
        </w:rPr>
        <w:t>大专、</w:t>
      </w:r>
      <w:r>
        <w:rPr>
          <w:rFonts w:ascii="Times New Roman" w:hAnsi="Times New Roman" w:eastAsia="仿宋_GB2312"/>
          <w:color w:val="000000" w:themeColor="text1"/>
          <w:kern w:val="0"/>
          <w:sz w:val="32"/>
          <w:szCs w:val="32"/>
          <w:lang w:val="zh-TW"/>
          <w14:textFill>
            <w14:solidFill>
              <w14:schemeClr w14:val="tx1"/>
            </w14:solidFill>
          </w14:textFill>
        </w:rPr>
        <w:t>本科及以上学历者占比整体保持上升趋势，</w:t>
      </w:r>
      <w:r>
        <w:rPr>
          <w:rFonts w:ascii="Times New Roman" w:hAnsi="Times New Roman" w:eastAsia="仿宋_GB2312"/>
          <w:color w:val="000000" w:themeColor="text1"/>
          <w:kern w:val="0"/>
          <w:sz w:val="32"/>
          <w:szCs w:val="32"/>
          <w14:textFill>
            <w14:solidFill>
              <w14:schemeClr w14:val="tx1"/>
            </w14:solidFill>
          </w14:textFill>
        </w:rPr>
        <w:t>其中大专累计提升2.9个百分点至28.2%，本科</w:t>
      </w:r>
      <w:r>
        <w:rPr>
          <w:rFonts w:ascii="Times New Roman" w:hAnsi="Times New Roman" w:eastAsia="仿宋_GB2312"/>
          <w:color w:val="000000" w:themeColor="text1"/>
          <w:kern w:val="0"/>
          <w:sz w:val="32"/>
          <w:szCs w:val="32"/>
          <w:lang w:val="zh-TW"/>
          <w14:textFill>
            <w14:solidFill>
              <w14:schemeClr w14:val="tx1"/>
            </w14:solidFill>
          </w14:textFill>
        </w:rPr>
        <w:t>累计提升2.8个百分点至8.9%；</w:t>
      </w:r>
    </w:p>
    <w:p w14:paraId="42F8435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 高中、中专及以下学历人员占比整体呈现下降态势</w:t>
      </w:r>
      <w:r>
        <w:rPr>
          <w:rFonts w:hint="eastAsia" w:ascii="Times New Roman" w:hAnsi="Times New Roman" w:eastAsia="仿宋_GB2312"/>
          <w:color w:val="000000" w:themeColor="text1"/>
          <w:kern w:val="0"/>
          <w:sz w:val="32"/>
          <w:szCs w:val="32"/>
          <w:lang w:val="zh-TW"/>
          <w14:textFill>
            <w14:solidFill>
              <w14:schemeClr w14:val="tx1"/>
            </w14:solidFill>
          </w14:textFill>
        </w:rPr>
        <w:t>（见图8）</w:t>
      </w:r>
      <w:r>
        <w:rPr>
          <w:rFonts w:ascii="Times New Roman" w:hAnsi="Times New Roman" w:eastAsia="仿宋_GB2312"/>
          <w:color w:val="000000" w:themeColor="text1"/>
          <w:kern w:val="0"/>
          <w:sz w:val="32"/>
          <w:szCs w:val="32"/>
          <w:lang w:val="zh-TW"/>
          <w14:textFill>
            <w14:solidFill>
              <w14:schemeClr w14:val="tx1"/>
            </w14:solidFill>
          </w14:textFill>
        </w:rPr>
        <w:t>。</w:t>
      </w:r>
    </w:p>
    <w:bookmarkEnd w:id="15"/>
    <w:bookmarkEnd w:id="16"/>
    <w:p w14:paraId="22540400">
      <w:pPr>
        <w:pStyle w:val="26"/>
        <w:ind w:firstLine="0"/>
        <w:jc w:val="center"/>
        <w:rPr>
          <w:rFonts w:hint="default"/>
        </w:rPr>
      </w:pPr>
      <w:r>
        <w:rPr>
          <w:rFonts w:hint="default"/>
        </w:rPr>
        <w:drawing>
          <wp:inline distT="0" distB="0" distL="0" distR="0">
            <wp:extent cx="5011420" cy="238950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017813" cy="2392731"/>
                    </a:xfrm>
                    <a:prstGeom prst="rect">
                      <a:avLst/>
                    </a:prstGeom>
                    <a:noFill/>
                  </pic:spPr>
                </pic:pic>
              </a:graphicData>
            </a:graphic>
          </wp:inline>
        </w:drawing>
      </w:r>
    </w:p>
    <w:p w14:paraId="37B09142">
      <w:pPr>
        <w:jc w:val="center"/>
        <w:rPr>
          <w:rFonts w:ascii="Times New Roman" w:hAnsi="Times New Roman"/>
          <w:sz w:val="24"/>
        </w:rPr>
      </w:pPr>
      <w:r>
        <w:rPr>
          <w:rFonts w:ascii="Times New Roman" w:hAnsi="Times New Roman"/>
          <w:sz w:val="24"/>
        </w:rPr>
        <w:t>图</w:t>
      </w:r>
      <w:r>
        <w:rPr>
          <w:rFonts w:hint="eastAsia" w:ascii="Times New Roman" w:hAnsi="Times New Roman"/>
          <w:sz w:val="24"/>
        </w:rPr>
        <w:t>8</w:t>
      </w:r>
      <w:r>
        <w:rPr>
          <w:rFonts w:ascii="Times New Roman" w:hAnsi="Times New Roman"/>
          <w:sz w:val="24"/>
        </w:rPr>
        <w:t xml:space="preserve">  2018年-2024年记录在职从业人员学历</w:t>
      </w:r>
      <w:r>
        <w:rPr>
          <w:rFonts w:hint="eastAsia" w:ascii="Times New Roman" w:hAnsi="Times New Roman"/>
          <w:sz w:val="24"/>
        </w:rPr>
        <w:t>结构</w:t>
      </w:r>
    </w:p>
    <w:p w14:paraId="0B382DA9">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13E6766E">
      <w:pPr>
        <w:pStyle w:val="2"/>
        <w:keepNext w:val="0"/>
        <w:pageBreakBefore/>
        <w:spacing w:before="120" w:beforeLines="50" w:after="120" w:afterLines="50" w:line="360" w:lineRule="auto"/>
        <w:ind w:firstLine="643" w:firstLineChars="200"/>
        <w:rPr>
          <w:rFonts w:ascii="Times New Roman" w:hAnsi="Times New Roman" w:eastAsia="黑体"/>
          <w:bCs w:val="0"/>
          <w:color w:val="000000" w:themeColor="text1"/>
          <w:sz w:val="24"/>
          <w:szCs w:val="24"/>
          <w14:textFill>
            <w14:solidFill>
              <w14:schemeClr w14:val="tx1"/>
            </w14:solidFill>
          </w14:textFill>
        </w:rPr>
      </w:pPr>
      <w:bookmarkStart w:id="17" w:name="_Toc192845441"/>
      <w:r>
        <w:rPr>
          <w:rFonts w:ascii="Times New Roman" w:hAnsi="Times New Roman" w:eastAsia="黑体"/>
          <w:bCs w:val="0"/>
          <w:color w:val="000000" w:themeColor="text1"/>
          <w:sz w:val="32"/>
          <w:szCs w:val="24"/>
          <w14:textFill>
            <w14:solidFill>
              <w14:schemeClr w14:val="tx1"/>
            </w14:solidFill>
          </w14:textFill>
        </w:rPr>
        <w:t>三、2024年房地产中介信用体系建设重要进展</w:t>
      </w:r>
      <w:bookmarkEnd w:id="17"/>
    </w:p>
    <w:p w14:paraId="026F4365">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bookmarkStart w:id="18" w:name="_Toc191915761"/>
      <w:r>
        <w:rPr>
          <w:rFonts w:hint="eastAsia" w:ascii="Times New Roman" w:hAnsi="Times New Roman" w:eastAsia="仿宋_GB2312"/>
          <w:color w:val="000000" w:themeColor="text1"/>
          <w:kern w:val="0"/>
          <w:sz w:val="32"/>
          <w:szCs w:val="32"/>
          <w14:textFill>
            <w14:solidFill>
              <w14:schemeClr w14:val="tx1"/>
            </w14:solidFill>
          </w14:textFill>
        </w:rPr>
        <w:t>（一）</w:t>
      </w:r>
      <w:r>
        <w:rPr>
          <w:rFonts w:ascii="Times New Roman" w:hAnsi="Times New Roman" w:eastAsia="仿宋_GB2312"/>
          <w:color w:val="000000" w:themeColor="text1"/>
          <w:kern w:val="0"/>
          <w:sz w:val="32"/>
          <w:szCs w:val="32"/>
          <w14:textFill>
            <w14:solidFill>
              <w14:schemeClr w14:val="tx1"/>
            </w14:solidFill>
          </w14:textFill>
        </w:rPr>
        <w:t>开展存量房交易服务消费者评价工作</w:t>
      </w:r>
      <w:bookmarkEnd w:id="18"/>
      <w:r>
        <w:rPr>
          <w:rFonts w:hint="eastAsia" w:ascii="Times New Roman" w:hAnsi="Times New Roman" w:eastAsia="仿宋_GB2312"/>
          <w:color w:val="000000" w:themeColor="text1"/>
          <w:kern w:val="0"/>
          <w:sz w:val="32"/>
          <w:szCs w:val="32"/>
          <w14:textFill>
            <w14:solidFill>
              <w14:schemeClr w14:val="tx1"/>
            </w14:solidFill>
          </w14:textFill>
        </w:rPr>
        <w:t>。</w:t>
      </w:r>
    </w:p>
    <w:p w14:paraId="76B53E0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2024年4月30日，市住房城乡</w:t>
      </w:r>
      <w:r>
        <w:rPr>
          <w:rFonts w:hint="eastAsia" w:ascii="Times New Roman" w:hAnsi="Times New Roman" w:eastAsia="仿宋_GB2312"/>
          <w:color w:val="000000" w:themeColor="text1"/>
          <w:kern w:val="0"/>
          <w:sz w:val="32"/>
          <w:szCs w:val="32"/>
          <w:lang w:val="zh-TW"/>
          <w14:textFill>
            <w14:solidFill>
              <w14:schemeClr w14:val="tx1"/>
            </w14:solidFill>
          </w14:textFill>
        </w:rPr>
        <w:t>建设</w:t>
      </w:r>
      <w:r>
        <w:rPr>
          <w:rFonts w:ascii="Times New Roman" w:hAnsi="Times New Roman" w:eastAsia="仿宋_GB2312"/>
          <w:color w:val="000000" w:themeColor="text1"/>
          <w:kern w:val="0"/>
          <w:sz w:val="32"/>
          <w:szCs w:val="32"/>
          <w:lang w:val="zh-TW"/>
          <w14:textFill>
            <w14:solidFill>
              <w14:schemeClr w14:val="tx1"/>
            </w14:solidFill>
          </w14:textFill>
        </w:rPr>
        <w:t>局</w:t>
      </w:r>
      <w:r>
        <w:rPr>
          <w:rFonts w:hint="eastAsia" w:ascii="Times New Roman" w:hAnsi="Times New Roman" w:eastAsia="仿宋_GB2312"/>
          <w:color w:val="000000" w:themeColor="text1"/>
          <w:kern w:val="0"/>
          <w:sz w:val="32"/>
          <w:szCs w:val="32"/>
          <w:lang w:val="zh-TW"/>
          <w14:textFill>
            <w14:solidFill>
              <w14:schemeClr w14:val="tx1"/>
            </w14:solidFill>
          </w14:textFill>
        </w:rPr>
        <w:t>印发</w:t>
      </w:r>
      <w:r>
        <w:rPr>
          <w:rFonts w:ascii="Times New Roman" w:hAnsi="Times New Roman" w:eastAsia="仿宋_GB2312"/>
          <w:color w:val="000000" w:themeColor="text1"/>
          <w:kern w:val="0"/>
          <w:sz w:val="32"/>
          <w:szCs w:val="32"/>
          <w:lang w:val="zh-TW"/>
          <w14:textFill>
            <w14:solidFill>
              <w14:schemeClr w14:val="tx1"/>
            </w14:solidFill>
          </w14:textFill>
        </w:rPr>
        <w:t>《广州市住房和城乡建设局关于开展存量房交易服务消费者评价工作的通知》</w:t>
      </w:r>
      <w:r>
        <w:rPr>
          <w:rFonts w:hint="eastAsia" w:ascii="Times New Roman" w:hAnsi="Times New Roman" w:eastAsia="仿宋_GB2312"/>
          <w:color w:val="000000" w:themeColor="text1"/>
          <w:kern w:val="0"/>
          <w:sz w:val="32"/>
          <w:szCs w:val="32"/>
          <w:lang w:val="zh-TW"/>
          <w14:textFill>
            <w14:solidFill>
              <w14:schemeClr w14:val="tx1"/>
            </w14:solidFill>
          </w14:textFill>
        </w:rPr>
        <w:t>（穗件房产</w:t>
      </w:r>
      <w:r>
        <w:rPr>
          <w:rFonts w:hint="eastAsia" w:ascii="方正隶书_GBK" w:hAnsi="方正隶书_GBK" w:eastAsia="方正隶书_GBK" w:cs="方正隶书_GBK"/>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2024</w:t>
      </w:r>
      <w:r>
        <w:rPr>
          <w:rFonts w:hint="eastAsia" w:ascii="仿宋_GB2312" w:hAnsi="仿宋_GB2312" w:eastAsia="仿宋_GB2312" w:cs="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301号）明确评价方式、内容和结果运用事宜。</w:t>
      </w:r>
      <w:r>
        <w:rPr>
          <w:rFonts w:ascii="Times New Roman" w:hAnsi="Times New Roman" w:eastAsia="仿宋_GB2312"/>
          <w:color w:val="000000" w:themeColor="text1"/>
          <w:kern w:val="0"/>
          <w:sz w:val="32"/>
          <w:szCs w:val="32"/>
          <w:lang w:val="zh-TW"/>
          <w14:textFill>
            <w14:solidFill>
              <w14:schemeClr w14:val="tx1"/>
            </w14:solidFill>
          </w14:textFill>
        </w:rPr>
        <w:t>存量房交易双方办理存量房交易产权转移登记递件过户手续时，广州市存量房网签系统自动向买卖双方发送短信业务，买卖双方点击短信内包含的评价链接进行评价</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评价内容涵盖服务规范性评价、服务收费评价、服务专业性评价、服务总体满意度4大方面，总分100</w:t>
      </w:r>
      <w:r>
        <w:rPr>
          <w:rFonts w:ascii="Times New Roman" w:hAnsi="Times New Roman" w:eastAsia="仿宋_GB2312"/>
          <w:color w:val="000000" w:themeColor="text1"/>
          <w:kern w:val="0"/>
          <w:sz w:val="32"/>
          <w:szCs w:val="32"/>
          <w:lang w:val="zh-TW" w:eastAsia="zh-TW"/>
          <w14:textFill>
            <w14:solidFill>
              <w14:schemeClr w14:val="tx1"/>
            </w14:solidFill>
          </w14:textFill>
        </w:rPr>
        <w:t>分</w:t>
      </w:r>
      <w:r>
        <w:rPr>
          <w:rFonts w:ascii="Times New Roman" w:hAnsi="Times New Roman" w:eastAsia="仿宋_GB2312"/>
          <w:color w:val="000000" w:themeColor="text1"/>
          <w:kern w:val="0"/>
          <w:sz w:val="32"/>
          <w:szCs w:val="32"/>
          <w:lang w:val="zh-TW"/>
          <w14:textFill>
            <w14:solidFill>
              <w14:schemeClr w14:val="tx1"/>
            </w14:solidFill>
          </w14:textFill>
        </w:rPr>
        <w:t>。</w:t>
      </w:r>
    </w:p>
    <w:p w14:paraId="04DC68AB">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经统计，自2024年4月30日以来，共286家中介机构收到买卖双方评价记录，各中介机构在消费者评价中平均总分为92.6分，其中在</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仿宋_GB2312" w:hAnsi="Times New Roman" w:eastAsia="仿宋_GB2312"/>
          <w:color w:val="000000" w:themeColor="text1"/>
          <w:kern w:val="0"/>
          <w:sz w:val="32"/>
          <w:szCs w:val="32"/>
          <w14:textFill>
            <w14:solidFill>
              <w14:schemeClr w14:val="tx1"/>
            </w14:solidFill>
          </w14:textFill>
        </w:rPr>
        <w:t>提醒交易当事人可采用托管方式交割交易资金</w:t>
      </w:r>
      <w:r>
        <w:rPr>
          <w:rFonts w:hint="eastAsia" w:ascii="仿宋_GB2312" w:hAnsi="Times New Roman" w:eastAsia="仿宋_GB2312"/>
          <w:color w:val="000000" w:themeColor="text1"/>
          <w:kern w:val="0"/>
          <w:sz w:val="32"/>
          <w:szCs w:val="32"/>
          <w14:textFill>
            <w14:solidFill>
              <w14:schemeClr w14:val="tx1"/>
            </w14:solidFill>
          </w14:textFill>
        </w:rPr>
        <w:t>”</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对房产交易流程的熟悉程度</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以及</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测算交易税费的专业程度</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等方面消费者满意度最高，得分率均在94.0%以上，但在《房屋状况说明书》《广州市房屋交易政策指引告知书》等重要资料出示上还有较大提升空间，得分率均在85.0%以下。</w:t>
      </w:r>
    </w:p>
    <w:p w14:paraId="4DDF2D7E">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eastAsia="zh-TW"/>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113家中介机构消费者评分为满分；有29家中介机构</w:t>
      </w:r>
      <w:bookmarkStart w:id="19" w:name="OLE_LINK35"/>
      <w:bookmarkStart w:id="20" w:name="OLE_LINK23"/>
      <w:r>
        <w:rPr>
          <w:rFonts w:ascii="Times New Roman" w:hAnsi="Times New Roman" w:eastAsia="仿宋_GB2312"/>
          <w:color w:val="000000" w:themeColor="text1"/>
          <w:kern w:val="0"/>
          <w:sz w:val="32"/>
          <w:szCs w:val="32"/>
          <w:lang w:val="zh-TW"/>
          <w14:textFill>
            <w14:solidFill>
              <w14:schemeClr w14:val="tx1"/>
            </w14:solidFill>
          </w14:textFill>
        </w:rPr>
        <w:t>平均得分</w:t>
      </w:r>
      <w:bookmarkEnd w:id="19"/>
      <w:bookmarkEnd w:id="20"/>
      <w:r>
        <w:rPr>
          <w:rFonts w:ascii="Times New Roman" w:hAnsi="Times New Roman" w:eastAsia="仿宋_GB2312"/>
          <w:color w:val="000000" w:themeColor="text1"/>
          <w:kern w:val="0"/>
          <w:sz w:val="32"/>
          <w:szCs w:val="32"/>
          <w:lang w:val="zh-TW"/>
          <w14:textFill>
            <w14:solidFill>
              <w14:schemeClr w14:val="tx1"/>
            </w14:solidFill>
          </w14:textFill>
        </w:rPr>
        <w:t>在80分以下，占10.1%，这些</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w:t>
      </w:r>
      <w:r>
        <w:rPr>
          <w:rFonts w:hint="eastAsia" w:ascii="Times New Roman" w:hAnsi="Times New Roman" w:eastAsia="仿宋_GB2312"/>
          <w:color w:val="000000" w:themeColor="text1"/>
          <w:kern w:val="0"/>
          <w:sz w:val="32"/>
          <w:szCs w:val="32"/>
          <w:lang w:val="zh-TW"/>
          <w14:textFill>
            <w14:solidFill>
              <w14:schemeClr w14:val="tx1"/>
            </w14:solidFill>
          </w14:textFill>
        </w:rPr>
        <w:t>主要</w:t>
      </w:r>
      <w:r>
        <w:rPr>
          <w:rFonts w:ascii="Times New Roman" w:hAnsi="Times New Roman" w:eastAsia="仿宋_GB2312"/>
          <w:color w:val="000000" w:themeColor="text1"/>
          <w:kern w:val="0"/>
          <w:sz w:val="32"/>
          <w:szCs w:val="32"/>
          <w:lang w:val="zh-TW"/>
          <w14:textFill>
            <w14:solidFill>
              <w14:schemeClr w14:val="tx1"/>
            </w14:solidFill>
          </w14:textFill>
        </w:rPr>
        <w:t>在出示重要资料、行业熟悉度与专业能力等方面</w:t>
      </w:r>
      <w:r>
        <w:rPr>
          <w:rFonts w:hint="eastAsia" w:ascii="Times New Roman" w:hAnsi="Times New Roman" w:eastAsia="仿宋_GB2312"/>
          <w:color w:val="000000" w:themeColor="text1"/>
          <w:kern w:val="0"/>
          <w:sz w:val="32"/>
          <w:szCs w:val="32"/>
          <w:lang w:val="zh-TW"/>
          <w14:textFill>
            <w14:solidFill>
              <w14:schemeClr w14:val="tx1"/>
            </w14:solidFill>
          </w14:textFill>
        </w:rPr>
        <w:t>还有提升空间</w:t>
      </w:r>
      <w:r>
        <w:rPr>
          <w:rFonts w:ascii="Times New Roman" w:hAnsi="Times New Roman" w:eastAsia="仿宋_GB2312"/>
          <w:color w:val="000000" w:themeColor="text1"/>
          <w:kern w:val="0"/>
          <w:sz w:val="32"/>
          <w:szCs w:val="32"/>
          <w:lang w:val="zh-TW"/>
          <w14:textFill>
            <w14:solidFill>
              <w14:schemeClr w14:val="tx1"/>
            </w14:solidFill>
          </w14:textFill>
        </w:rPr>
        <w:t>。</w:t>
      </w:r>
    </w:p>
    <w:p w14:paraId="3B7C59AA">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（二）</w:t>
      </w:r>
      <w:r>
        <w:rPr>
          <w:rFonts w:ascii="Times New Roman" w:hAnsi="Times New Roman" w:eastAsia="仿宋_GB2312"/>
          <w:color w:val="000000" w:themeColor="text1"/>
          <w:kern w:val="0"/>
          <w:sz w:val="32"/>
          <w:szCs w:val="32"/>
          <w14:textFill>
            <w14:solidFill>
              <w14:schemeClr w14:val="tx1"/>
            </w14:solidFill>
          </w14:textFill>
        </w:rPr>
        <w:t>修订《广州市房地产中介信用评分评级管理办法》。</w:t>
      </w:r>
    </w:p>
    <w:p w14:paraId="426056D4">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为更好开展我市房地产中介信用评分评级工作，市中介协会在广泛征求</w:t>
      </w:r>
      <w:r>
        <w:rPr>
          <w:rFonts w:hint="eastAsia" w:ascii="Times New Roman" w:hAnsi="Times New Roman" w:eastAsia="仿宋_GB2312"/>
          <w:color w:val="000000" w:themeColor="text1"/>
          <w:kern w:val="0"/>
          <w:sz w:val="32"/>
          <w:szCs w:val="32"/>
          <w14:textFill>
            <w14:solidFill>
              <w14:schemeClr w14:val="tx1"/>
            </w14:solidFill>
          </w14:textFill>
        </w:rPr>
        <w:t>行业意见的</w:t>
      </w:r>
      <w:r>
        <w:rPr>
          <w:rFonts w:ascii="Times New Roman" w:hAnsi="Times New Roman" w:eastAsia="仿宋_GB2312"/>
          <w:color w:val="000000" w:themeColor="text1"/>
          <w:kern w:val="0"/>
          <w:sz w:val="32"/>
          <w:szCs w:val="32"/>
          <w14:textFill>
            <w14:solidFill>
              <w14:schemeClr w14:val="tx1"/>
            </w14:solidFill>
          </w14:textFill>
        </w:rPr>
        <w:t>基础上，对《广州市房地产中介信用评分评级管理办法》的第十三条及部分信用评价指标进行了修订。相关修订于2024年8月7日经市中介协会第四届理事会第四次会议审议表决通过，主要修订情况如下：</w:t>
      </w:r>
    </w:p>
    <w:p w14:paraId="70A80E6F">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一是删除第十三条中有关个人信用等级</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优质</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良好</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的获评条件中</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且已取得协会颁发的《水平认证证书》并按时完成年度继续教育</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的文字表述。</w:t>
      </w:r>
    </w:p>
    <w:p w14:paraId="3397B062">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二是新增信用评价指标第8项个人良好行为评分指标</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有关经纪人持有职业能力水平评价证书</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w:t>
      </w:r>
    </w:p>
    <w:p w14:paraId="58607888">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三是调整信用评价指标中个人良好行为评分指标第1项，对个人存续年限加分设置上限（15分）。</w:t>
      </w:r>
    </w:p>
    <w:p w14:paraId="2A1F0259">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四是取消信用评价指标第4项单位良好行为评分指标和第3项个人良好行为评分指标中的</w:t>
      </w:r>
      <w:r>
        <w:rPr>
          <w:rFonts w:hint="eastAsia" w:ascii="仿宋_GB2312"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连续2年年度信用等级结果达到优质的</w:t>
      </w:r>
      <w:r>
        <w:rPr>
          <w:rFonts w:hint="eastAsia" w:ascii="仿宋_GB2312" w:hAnsi="Times New Roman" w:eastAsia="仿宋_GB2312"/>
          <w:color w:val="000000" w:themeColor="text1"/>
          <w:kern w:val="0"/>
          <w:sz w:val="32"/>
          <w:szCs w:val="32"/>
          <w14:textFill>
            <w14:solidFill>
              <w14:schemeClr w14:val="tx1"/>
            </w14:solidFill>
          </w14:textFill>
        </w:rPr>
        <w:t>”“连续</w:t>
      </w:r>
      <w:r>
        <w:rPr>
          <w:rFonts w:ascii="Times New Roman" w:hAnsi="Times New Roman" w:eastAsia="仿宋_GB2312"/>
          <w:color w:val="000000" w:themeColor="text1"/>
          <w:kern w:val="0"/>
          <w:sz w:val="32"/>
          <w:szCs w:val="32"/>
          <w14:textFill>
            <w14:solidFill>
              <w14:schemeClr w14:val="tx1"/>
            </w14:solidFill>
          </w14:textFill>
        </w:rPr>
        <w:t>2</w:t>
      </w:r>
      <w:r>
        <w:rPr>
          <w:rFonts w:hint="eastAsia" w:ascii="仿宋_GB2312" w:hAnsi="Times New Roman" w:eastAsia="仿宋_GB2312"/>
          <w:color w:val="000000" w:themeColor="text1"/>
          <w:kern w:val="0"/>
          <w:sz w:val="32"/>
          <w:szCs w:val="32"/>
          <w14:textFill>
            <w14:solidFill>
              <w14:schemeClr w14:val="tx1"/>
            </w14:solidFill>
          </w14:textFill>
        </w:rPr>
        <w:t>年年度信用等级结果达到良好的”</w:t>
      </w:r>
      <w:r>
        <w:rPr>
          <w:rFonts w:ascii="Times New Roman" w:hAnsi="Times New Roman" w:eastAsia="仿宋_GB2312"/>
          <w:color w:val="000000" w:themeColor="text1"/>
          <w:kern w:val="0"/>
          <w:sz w:val="32"/>
          <w:szCs w:val="32"/>
          <w14:textFill>
            <w14:solidFill>
              <w14:schemeClr w14:val="tx1"/>
            </w14:solidFill>
          </w14:textFill>
        </w:rPr>
        <w:t>。</w:t>
      </w:r>
    </w:p>
    <w:p w14:paraId="2F8F655A">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五是将信用评价指标第21、23项不良行为评分指标的等级由B级指标（-15分）调整为D级指标（-5分）。</w:t>
      </w:r>
    </w:p>
    <w:p w14:paraId="4886852D">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修订后的《广州市房地产中介信用评分评级管理办法》自202</w:t>
      </w:r>
      <w:r>
        <w:rPr>
          <w:rFonts w:ascii="Times New Roman" w:hAnsi="Times New Roman" w:eastAsia="仿宋_GB2312"/>
          <w:color w:val="000000" w:themeColor="text1"/>
          <w:kern w:val="0"/>
          <w:sz w:val="32"/>
          <w:szCs w:val="32"/>
          <w14:textFill>
            <w14:solidFill>
              <w14:schemeClr w14:val="tx1"/>
            </w14:solidFill>
          </w14:textFill>
        </w:rPr>
        <w:t>4</w:t>
      </w:r>
      <w:r>
        <w:rPr>
          <w:rFonts w:ascii="Times New Roman" w:hAnsi="Times New Roman" w:eastAsia="仿宋_GB2312"/>
          <w:color w:val="000000" w:themeColor="text1"/>
          <w:kern w:val="0"/>
          <w:sz w:val="32"/>
          <w:szCs w:val="32"/>
          <w:lang w:val="zh-TW"/>
          <w14:textFill>
            <w14:solidFill>
              <w14:schemeClr w14:val="tx1"/>
            </w14:solidFill>
          </w14:textFill>
        </w:rPr>
        <w:t>年</w:t>
      </w:r>
      <w:r>
        <w:rPr>
          <w:rFonts w:ascii="Times New Roman" w:hAnsi="Times New Roman" w:eastAsia="仿宋_GB2312"/>
          <w:color w:val="000000" w:themeColor="text1"/>
          <w:kern w:val="0"/>
          <w:sz w:val="32"/>
          <w:szCs w:val="32"/>
          <w14:textFill>
            <w14:solidFill>
              <w14:schemeClr w14:val="tx1"/>
            </w14:solidFill>
          </w14:textFill>
        </w:rPr>
        <w:t>8</w:t>
      </w:r>
      <w:r>
        <w:rPr>
          <w:rFonts w:ascii="Times New Roman" w:hAnsi="Times New Roman" w:eastAsia="仿宋_GB2312"/>
          <w:color w:val="000000" w:themeColor="text1"/>
          <w:kern w:val="0"/>
          <w:sz w:val="32"/>
          <w:szCs w:val="32"/>
          <w:lang w:val="zh-TW"/>
          <w14:textFill>
            <w14:solidFill>
              <w14:schemeClr w14:val="tx1"/>
            </w14:solidFill>
          </w14:textFill>
        </w:rPr>
        <w:t>月8日起正式实施。</w:t>
      </w:r>
    </w:p>
    <w:p w14:paraId="644293A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（三）</w:t>
      </w:r>
      <w:r>
        <w:rPr>
          <w:rFonts w:ascii="Times New Roman" w:hAnsi="Times New Roman" w:eastAsia="仿宋_GB2312"/>
          <w:color w:val="000000" w:themeColor="text1"/>
          <w:kern w:val="0"/>
          <w:sz w:val="32"/>
          <w:szCs w:val="32"/>
          <w:lang w:val="zh-TW"/>
          <w14:textFill>
            <w14:solidFill>
              <w14:schemeClr w14:val="tx1"/>
            </w14:solidFill>
          </w14:textFill>
        </w:rPr>
        <w:t>开展</w:t>
      </w:r>
      <w:r>
        <w:rPr>
          <w:rFonts w:ascii="Times New Roman" w:hAnsi="Times New Roman" w:eastAsia="仿宋_GB2312"/>
          <w:color w:val="000000" w:themeColor="text1"/>
          <w:kern w:val="0"/>
          <w:sz w:val="32"/>
          <w:szCs w:val="32"/>
          <w:lang w:val="zh-TW" w:eastAsia="zh-TW"/>
          <w14:textFill>
            <w14:solidFill>
              <w14:schemeClr w14:val="tx1"/>
            </w14:solidFill>
          </w14:textFill>
        </w:rPr>
        <w:t>广州市房地产中介信用管理体系优化改革研究</w:t>
      </w:r>
      <w:r>
        <w:rPr>
          <w:rFonts w:ascii="Times New Roman" w:hAnsi="Times New Roman" w:eastAsia="仿宋_GB2312"/>
          <w:color w:val="000000" w:themeColor="text1"/>
          <w:kern w:val="0"/>
          <w:sz w:val="32"/>
          <w:szCs w:val="32"/>
          <w:lang w:val="zh-TW"/>
          <w14:textFill>
            <w14:solidFill>
              <w14:schemeClr w14:val="tx1"/>
            </w14:solidFill>
          </w14:textFill>
        </w:rPr>
        <w:t>。</w:t>
      </w:r>
    </w:p>
    <w:p w14:paraId="3CBC9F81">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hint="eastAsia" w:ascii="Times New Roman" w:hAnsi="Times New Roman" w:eastAsia="仿宋_GB2312"/>
          <w:color w:val="000000" w:themeColor="text1"/>
          <w:kern w:val="0"/>
          <w:sz w:val="32"/>
          <w:szCs w:val="32"/>
          <w14:textFill>
            <w14:solidFill>
              <w14:schemeClr w14:val="tx1"/>
            </w14:solidFill>
          </w14:textFill>
        </w:rPr>
        <w:t>从</w:t>
      </w:r>
      <w:r>
        <w:rPr>
          <w:rFonts w:ascii="Times New Roman" w:hAnsi="Times New Roman" w:eastAsia="仿宋_GB2312"/>
          <w:color w:val="000000" w:themeColor="text1"/>
          <w:kern w:val="0"/>
          <w:sz w:val="32"/>
          <w:szCs w:val="32"/>
          <w:lang w:val="zh-TW"/>
          <w14:textFill>
            <w14:solidFill>
              <w14:schemeClr w14:val="tx1"/>
            </w14:solidFill>
          </w14:textFill>
        </w:rPr>
        <w:t>2017年7月24日发布《广州市房地产中介信用管理暂行规定》</w:t>
      </w:r>
      <w:r>
        <w:rPr>
          <w:rFonts w:hint="eastAsia" w:ascii="Times New Roman" w:hAnsi="Times New Roman" w:eastAsia="仿宋_GB2312"/>
          <w:color w:val="000000" w:themeColor="text1"/>
          <w:kern w:val="0"/>
          <w:sz w:val="32"/>
          <w:szCs w:val="32"/>
          <w14:textFill>
            <w14:solidFill>
              <w14:schemeClr w14:val="tx1"/>
            </w14:solidFill>
          </w14:textFill>
        </w:rPr>
        <w:t>开始</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我市</w:t>
      </w:r>
      <w:r>
        <w:rPr>
          <w:rFonts w:ascii="Times New Roman" w:hAnsi="Times New Roman" w:eastAsia="仿宋_GB2312"/>
          <w:color w:val="000000" w:themeColor="text1"/>
          <w:kern w:val="0"/>
          <w:sz w:val="32"/>
          <w:szCs w:val="32"/>
          <w:lang w:val="zh-TW"/>
          <w14:textFill>
            <w14:solidFill>
              <w14:schemeClr w14:val="tx1"/>
            </w14:solidFill>
          </w14:textFill>
        </w:rPr>
        <w:t>着手建设房地产中介行业信用管理体系</w:t>
      </w:r>
      <w:r>
        <w:rPr>
          <w:rFonts w:hint="eastAsia" w:ascii="Times New Roman" w:hAnsi="Times New Roman" w:eastAsia="仿宋_GB2312"/>
          <w:color w:val="000000" w:themeColor="text1"/>
          <w:kern w:val="0"/>
          <w:sz w:val="32"/>
          <w:szCs w:val="32"/>
          <w:lang w:val="zh-TW"/>
          <w14:textFill>
            <w14:solidFill>
              <w14:schemeClr w14:val="tx1"/>
            </w14:solidFill>
          </w14:textFill>
        </w:rPr>
        <w:t>。至今</w:t>
      </w:r>
      <w:r>
        <w:rPr>
          <w:rFonts w:ascii="Times New Roman" w:hAnsi="Times New Roman" w:eastAsia="仿宋_GB2312"/>
          <w:color w:val="000000" w:themeColor="text1"/>
          <w:kern w:val="0"/>
          <w:sz w:val="32"/>
          <w:szCs w:val="32"/>
          <w:lang w:val="zh-TW"/>
          <w14:textFill>
            <w14:solidFill>
              <w14:schemeClr w14:val="tx1"/>
            </w14:solidFill>
          </w14:textFill>
        </w:rPr>
        <w:t>已运行七年多，取得了较好效果，总体达到预期目标</w:t>
      </w:r>
      <w:r>
        <w:rPr>
          <w:rFonts w:hint="eastAsia" w:ascii="Times New Roman" w:hAnsi="Times New Roman" w:eastAsia="仿宋_GB2312"/>
          <w:color w:val="000000" w:themeColor="text1"/>
          <w:kern w:val="0"/>
          <w:sz w:val="32"/>
          <w:szCs w:val="32"/>
          <w:lang w:val="zh-TW"/>
          <w14:textFill>
            <w14:solidFill>
              <w14:schemeClr w14:val="tx1"/>
            </w14:solidFill>
          </w14:textFill>
        </w:rPr>
        <w:t>，但</w:t>
      </w:r>
      <w:r>
        <w:rPr>
          <w:rFonts w:ascii="Times New Roman" w:hAnsi="Times New Roman" w:eastAsia="仿宋_GB2312"/>
          <w:color w:val="000000" w:themeColor="text1"/>
          <w:kern w:val="0"/>
          <w:sz w:val="32"/>
          <w:szCs w:val="32"/>
          <w:lang w:val="zh-TW"/>
          <w14:textFill>
            <w14:solidFill>
              <w14:schemeClr w14:val="tx1"/>
            </w14:solidFill>
          </w14:textFill>
        </w:rPr>
        <w:t>也</w:t>
      </w:r>
      <w:r>
        <w:rPr>
          <w:rFonts w:hint="eastAsia" w:ascii="Times New Roman" w:hAnsi="Times New Roman" w:eastAsia="仿宋_GB2312"/>
          <w:color w:val="000000" w:themeColor="text1"/>
          <w:kern w:val="0"/>
          <w:sz w:val="32"/>
          <w:szCs w:val="32"/>
          <w:lang w:val="zh-TW"/>
          <w14:textFill>
            <w14:solidFill>
              <w14:schemeClr w14:val="tx1"/>
            </w14:solidFill>
          </w14:textFill>
        </w:rPr>
        <w:t>显现出</w:t>
      </w:r>
      <w:r>
        <w:rPr>
          <w:rFonts w:ascii="Times New Roman" w:hAnsi="Times New Roman" w:eastAsia="仿宋_GB2312"/>
          <w:color w:val="000000" w:themeColor="text1"/>
          <w:kern w:val="0"/>
          <w:sz w:val="32"/>
          <w:szCs w:val="32"/>
          <w:lang w:val="zh-TW"/>
          <w14:textFill>
            <w14:solidFill>
              <w14:schemeClr w14:val="tx1"/>
            </w14:solidFill>
          </w14:textFill>
        </w:rPr>
        <w:t>一些问题与不足。此外</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随着</w:t>
      </w:r>
      <w:r>
        <w:rPr>
          <w:rFonts w:ascii="Times New Roman" w:hAnsi="Times New Roman" w:eastAsia="仿宋_GB2312"/>
          <w:color w:val="000000" w:themeColor="text1"/>
          <w:kern w:val="0"/>
          <w:sz w:val="32"/>
          <w:szCs w:val="32"/>
          <w:lang w:val="zh-TW"/>
          <w14:textFill>
            <w14:solidFill>
              <w14:schemeClr w14:val="tx1"/>
            </w14:solidFill>
          </w14:textFill>
        </w:rPr>
        <w:t>近年来房地产市场环境</w:t>
      </w:r>
      <w:r>
        <w:rPr>
          <w:rFonts w:hint="eastAsia" w:ascii="Times New Roman" w:hAnsi="Times New Roman" w:eastAsia="仿宋_GB2312"/>
          <w:color w:val="000000" w:themeColor="text1"/>
          <w:kern w:val="0"/>
          <w:sz w:val="32"/>
          <w:szCs w:val="32"/>
          <w:lang w:val="zh-TW"/>
          <w14:textFill>
            <w14:solidFill>
              <w14:schemeClr w14:val="tx1"/>
            </w14:solidFill>
          </w14:textFill>
        </w:rPr>
        <w:t>发生</w:t>
      </w:r>
      <w:r>
        <w:rPr>
          <w:rFonts w:ascii="Times New Roman" w:hAnsi="Times New Roman" w:eastAsia="仿宋_GB2312"/>
          <w:color w:val="000000" w:themeColor="text1"/>
          <w:kern w:val="0"/>
          <w:sz w:val="32"/>
          <w:szCs w:val="32"/>
          <w:lang w:val="zh-TW"/>
          <w14:textFill>
            <w14:solidFill>
              <w14:schemeClr w14:val="tx1"/>
            </w14:solidFill>
          </w14:textFill>
        </w:rPr>
        <w:t>深刻变化，中介行业在经营模式、从业人员结构、市场竞争态势等方面均展现出新的特点，对行业信用管理提出了更高要求。</w:t>
      </w:r>
    </w:p>
    <w:p w14:paraId="32C7EEFF">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市交监中心委托市中介协会开展广州市房地产中介信用管理体系优化改革课题研究。研究报告</w:t>
      </w:r>
      <w:r>
        <w:rPr>
          <w:rFonts w:ascii="Times New Roman" w:hAnsi="Times New Roman" w:eastAsia="仿宋_GB2312"/>
          <w:color w:val="000000" w:themeColor="text1"/>
          <w:kern w:val="0"/>
          <w:sz w:val="32"/>
          <w:szCs w:val="32"/>
          <w14:textFill>
            <w14:solidFill>
              <w14:schemeClr w14:val="tx1"/>
            </w14:solidFill>
          </w14:textFill>
        </w:rPr>
        <w:t>系</w:t>
      </w:r>
      <w:r>
        <w:rPr>
          <w:rFonts w:ascii="Times New Roman" w:hAnsi="Times New Roman" w:eastAsia="仿宋_GB2312"/>
          <w:color w:val="000000" w:themeColor="text1"/>
          <w:kern w:val="0"/>
          <w:sz w:val="32"/>
          <w:szCs w:val="32"/>
          <w:lang w:val="zh-TW"/>
          <w14:textFill>
            <w14:solidFill>
              <w14:schemeClr w14:val="tx1"/>
            </w14:solidFill>
          </w14:textFill>
        </w:rPr>
        <w:t>统梳理了广州市房地产中介信用管理体系的建设历程，综合分析了当前行业发展变化对信用管理提出的新要求，通过召开座谈会</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征求业内专业人士意见建议、借鉴专家学者研究成果及其他行业经验、对比参考相关城市的信用管理措施等方式，提出了具有针对性和可操作性的建议措施，以进一步完善广州市房地产中介信用管理体系，更好地推动行业持续健康发展，保障房地产市场的正常交易秩序，维护消费者合法权益。</w:t>
      </w:r>
    </w:p>
    <w:p w14:paraId="2BD8302E">
      <w:pPr>
        <w:spacing w:line="560" w:lineRule="exact"/>
        <w:ind w:firstLine="640" w:firstLineChars="200"/>
        <w:rPr>
          <w:rFonts w:ascii="Times New Roman" w:hAnsi="Times New Roman" w:eastAsia="仿宋_GB2312"/>
          <w:color w:val="000000" w:themeColor="text1"/>
          <w:kern w:val="0"/>
          <w:sz w:val="32"/>
          <w:szCs w:val="32"/>
          <w:lang w:val="zh-TW" w:eastAsia="zh-TW"/>
          <w14:textFill>
            <w14:solidFill>
              <w14:schemeClr w14:val="tx1"/>
            </w14:solidFill>
          </w14:textFill>
        </w:rPr>
      </w:pPr>
      <w:r>
        <w:rPr>
          <w:rFonts w:hint="eastAsia" w:ascii="Times New Roman" w:hAnsi="Times New Roman" w:eastAsia="仿宋_GB2312"/>
          <w:color w:val="000000" w:themeColor="text1"/>
          <w:kern w:val="0"/>
          <w:sz w:val="32"/>
          <w:szCs w:val="32"/>
          <w:lang w:val="zh-TW" w:eastAsia="zh-TW"/>
          <w14:textFill>
            <w14:solidFill>
              <w14:schemeClr w14:val="tx1"/>
            </w14:solidFill>
          </w14:textFill>
        </w:rPr>
        <w:t>自房地产中介行业信用管理系统运行以来，</w:t>
      </w:r>
      <w:r>
        <w:rPr>
          <w:rFonts w:hint="eastAsia" w:ascii="Times New Roman" w:hAnsi="Times New Roman" w:eastAsia="仿宋_GB2312"/>
          <w:color w:val="000000" w:themeColor="text1"/>
          <w:kern w:val="0"/>
          <w:sz w:val="32"/>
          <w:szCs w:val="32"/>
          <w:lang w:eastAsia="zh-TW"/>
          <w14:textFill>
            <w14:solidFill>
              <w14:schemeClr w14:val="tx1"/>
            </w14:solidFill>
          </w14:textFill>
        </w:rPr>
        <w:t>截至2024年末，我市</w:t>
      </w:r>
      <w:r>
        <w:rPr>
          <w:rFonts w:ascii="Times New Roman" w:hAnsi="Times New Roman" w:eastAsia="仿宋_GB2312"/>
          <w:color w:val="000000" w:themeColor="text1"/>
          <w:kern w:val="0"/>
          <w:sz w:val="32"/>
          <w:szCs w:val="32"/>
          <w:lang w:val="zh-TW" w:eastAsia="zh-TW"/>
          <w14:textFill>
            <w14:solidFill>
              <w14:schemeClr w14:val="tx1"/>
            </w14:solidFill>
          </w14:textFill>
        </w:rPr>
        <w:t>已对8996家中介机构（</w:t>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其中</w:t>
      </w:r>
      <w:r>
        <w:rPr>
          <w:rFonts w:ascii="Times New Roman" w:hAnsi="Times New Roman" w:eastAsia="仿宋_GB2312"/>
          <w:color w:val="000000" w:themeColor="text1"/>
          <w:kern w:val="0"/>
          <w:sz w:val="32"/>
          <w:szCs w:val="32"/>
          <w:lang w:val="zh-TW" w:eastAsia="zh-TW"/>
          <w14:textFill>
            <w14:solidFill>
              <w14:schemeClr w14:val="tx1"/>
            </w14:solidFill>
          </w14:textFill>
        </w:rPr>
        <w:t>备案证书有效的3459家</w:t>
      </w:r>
      <w:r>
        <w:rPr>
          <w:rStyle w:val="25"/>
          <w:rFonts w:ascii="Times New Roman" w:hAnsi="Times New Roman" w:eastAsia="仿宋_GB2312"/>
          <w:color w:val="000000" w:themeColor="text1"/>
          <w:kern w:val="0"/>
          <w:sz w:val="32"/>
          <w:szCs w:val="32"/>
          <w:lang w:val="zh-TW" w:eastAsia="zh-TW"/>
          <w14:textFill>
            <w14:solidFill>
              <w14:schemeClr w14:val="tx1"/>
            </w14:solidFill>
          </w14:textFill>
        </w:rPr>
        <w:footnoteReference w:id="8"/>
      </w:r>
      <w:r>
        <w:rPr>
          <w:rFonts w:ascii="Times New Roman" w:hAnsi="Times New Roman" w:eastAsia="仿宋_GB2312"/>
          <w:color w:val="000000" w:themeColor="text1"/>
          <w:kern w:val="0"/>
          <w:sz w:val="32"/>
          <w:szCs w:val="32"/>
          <w:lang w:val="zh-TW" w:eastAsia="zh-TW"/>
          <w14:textFill>
            <w14:solidFill>
              <w14:schemeClr w14:val="tx1"/>
            </w14:solidFill>
          </w14:textFill>
        </w:rPr>
        <w:t>，备案证书已注销的5537家）、136838名从业人员（其中记录在职状态</w:t>
      </w:r>
      <w:r>
        <w:rPr>
          <w:rFonts w:hint="eastAsia" w:ascii="Times New Roman" w:hAnsi="Times New Roman" w:eastAsia="仿宋_GB2312"/>
          <w:color w:val="000000" w:themeColor="text1"/>
          <w:kern w:val="0"/>
          <w:sz w:val="32"/>
          <w:szCs w:val="32"/>
          <w14:textFill>
            <w14:solidFill>
              <w14:schemeClr w14:val="tx1"/>
            </w14:solidFill>
          </w14:textFill>
        </w:rPr>
        <w:t>从业</w:t>
      </w:r>
      <w:r>
        <w:rPr>
          <w:rFonts w:ascii="Times New Roman" w:hAnsi="Times New Roman" w:eastAsia="仿宋_GB2312"/>
          <w:color w:val="000000" w:themeColor="text1"/>
          <w:kern w:val="0"/>
          <w:sz w:val="32"/>
          <w:szCs w:val="32"/>
          <w:lang w:val="zh-TW" w:eastAsia="zh-TW"/>
          <w14:textFill>
            <w14:solidFill>
              <w14:schemeClr w14:val="tx1"/>
            </w14:solidFill>
          </w14:textFill>
        </w:rPr>
        <w:t>人员33714名，非在职状态</w:t>
      </w:r>
      <w:r>
        <w:rPr>
          <w:rFonts w:hint="eastAsia" w:ascii="Times New Roman" w:hAnsi="Times New Roman" w:eastAsia="仿宋_GB2312"/>
          <w:color w:val="000000" w:themeColor="text1"/>
          <w:kern w:val="0"/>
          <w:sz w:val="32"/>
          <w:szCs w:val="32"/>
          <w14:textFill>
            <w14:solidFill>
              <w14:schemeClr w14:val="tx1"/>
            </w14:solidFill>
          </w14:textFill>
        </w:rPr>
        <w:t>从业</w:t>
      </w:r>
      <w:r>
        <w:rPr>
          <w:rFonts w:ascii="Times New Roman" w:hAnsi="Times New Roman" w:eastAsia="仿宋_GB2312"/>
          <w:color w:val="000000" w:themeColor="text1"/>
          <w:kern w:val="0"/>
          <w:sz w:val="32"/>
          <w:szCs w:val="32"/>
          <w:lang w:val="zh-TW" w:eastAsia="zh-TW"/>
          <w14:textFill>
            <w14:solidFill>
              <w14:schemeClr w14:val="tx1"/>
            </w14:solidFill>
          </w14:textFill>
        </w:rPr>
        <w:t>人员103124名）建立了信用档案</w:t>
      </w:r>
      <w:r>
        <w:rPr>
          <w:rFonts w:hint="eastAsia" w:ascii="Times New Roman" w:hAnsi="Times New Roman" w:eastAsia="仿宋_GB2312"/>
          <w:color w:val="000000" w:themeColor="text1"/>
          <w:kern w:val="0"/>
          <w:sz w:val="32"/>
          <w:szCs w:val="32"/>
          <w:lang w:val="zh-TW" w:eastAsia="zh-TW"/>
          <w14:textFill>
            <w14:solidFill>
              <w14:schemeClr w14:val="tx1"/>
            </w14:solidFill>
          </w14:textFill>
        </w:rPr>
        <w:t>；对全部办理广州市房地产中介机构备案手续的中介机构（含分支机构）制作并发放了《广州市房地产中介服务机构备案证书》，</w:t>
      </w:r>
      <w:r>
        <w:rPr>
          <w:rFonts w:ascii="Times New Roman" w:hAnsi="Times New Roman" w:eastAsia="仿宋_GB2312"/>
          <w:color w:val="000000" w:themeColor="text1"/>
          <w:kern w:val="0"/>
          <w:sz w:val="32"/>
          <w:szCs w:val="32"/>
          <w:lang w:val="zh-TW" w:eastAsia="zh-TW"/>
          <w14:textFill>
            <w14:solidFill>
              <w14:schemeClr w14:val="tx1"/>
            </w14:solidFill>
          </w14:textFill>
        </w:rPr>
        <w:t>对约5.9万名从业人员制作并发放了《广州市房地产中介服务人员信用信息卡》。</w:t>
      </w:r>
    </w:p>
    <w:p w14:paraId="08B14B8F">
      <w:pPr>
        <w:spacing w:line="360" w:lineRule="auto"/>
        <w:ind w:firstLine="480" w:firstLineChars="200"/>
        <w:rPr>
          <w:rFonts w:ascii="Times New Roman" w:hAnsi="Times New Roman"/>
          <w:color w:val="FF0000"/>
          <w:kern w:val="0"/>
          <w:sz w:val="24"/>
          <w:szCs w:val="24"/>
          <w:lang w:val="zh-TW" w:eastAsia="zh-TW"/>
        </w:rPr>
      </w:pPr>
    </w:p>
    <w:p w14:paraId="3B893124">
      <w:pPr>
        <w:pStyle w:val="2"/>
        <w:pageBreakBefore/>
        <w:spacing w:before="120" w:beforeLines="50" w:after="120" w:afterLines="50" w:line="360" w:lineRule="auto"/>
        <w:ind w:firstLine="643" w:firstLineChars="200"/>
        <w:rPr>
          <w:rFonts w:ascii="Times New Roman" w:hAnsi="Times New Roman" w:eastAsia="黑体"/>
          <w:bCs w:val="0"/>
          <w:color w:val="000000" w:themeColor="text1"/>
          <w:sz w:val="32"/>
          <w:szCs w:val="24"/>
          <w14:textFill>
            <w14:solidFill>
              <w14:schemeClr w14:val="tx1"/>
            </w14:solidFill>
          </w14:textFill>
        </w:rPr>
      </w:pPr>
      <w:bookmarkStart w:id="21" w:name="_Toc98168314"/>
      <w:bookmarkStart w:id="22" w:name="_Toc192845442"/>
      <w:r>
        <w:rPr>
          <w:rFonts w:ascii="Times New Roman" w:hAnsi="Times New Roman" w:eastAsia="黑体"/>
          <w:bCs w:val="0"/>
          <w:color w:val="000000" w:themeColor="text1"/>
          <w:sz w:val="32"/>
          <w:szCs w:val="24"/>
          <w14:textFill>
            <w14:solidFill>
              <w14:schemeClr w14:val="tx1"/>
            </w14:solidFill>
          </w14:textFill>
        </w:rPr>
        <w:t>四、中介机构信用状况</w:t>
      </w:r>
      <w:bookmarkEnd w:id="21"/>
      <w:bookmarkEnd w:id="22"/>
    </w:p>
    <w:p w14:paraId="31AD8CCF">
      <w:pPr>
        <w:pStyle w:val="3"/>
        <w:spacing w:before="240" w:after="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23" w:name="_Toc192845443"/>
      <w:bookmarkStart w:id="24" w:name="_Toc98168315"/>
      <w:r>
        <w:rPr>
          <w:rFonts w:ascii="Times New Roman" w:hAnsi="Times New Roman" w:eastAsia="黑体" w:cs="Times New Roman"/>
          <w:bCs w:val="0"/>
          <w:color w:val="000000" w:themeColor="text1"/>
          <w:sz w:val="28"/>
          <w:szCs w:val="28"/>
          <w14:textFill>
            <w14:solidFill>
              <w14:schemeClr w14:val="tx1"/>
            </w14:solidFill>
          </w14:textFill>
        </w:rPr>
        <w:t>（一）整体情况</w:t>
      </w:r>
      <w:bookmarkEnd w:id="23"/>
      <w:bookmarkEnd w:id="24"/>
    </w:p>
    <w:p w14:paraId="29175F64">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bookmarkStart w:id="25" w:name="OLE_LINK59"/>
      <w:r>
        <w:rPr>
          <w:rFonts w:ascii="Times New Roman" w:hAnsi="Times New Roman" w:eastAsia="仿宋_GB2312"/>
          <w:color w:val="000000" w:themeColor="text1"/>
          <w:kern w:val="0"/>
          <w:sz w:val="32"/>
          <w:szCs w:val="32"/>
          <w:lang w:val="zh-TW"/>
          <w14:textFill>
            <w14:solidFill>
              <w14:schemeClr w14:val="tx1"/>
            </w14:solidFill>
          </w14:textFill>
        </w:rPr>
        <w:t>截至202</w:t>
      </w:r>
      <w:r>
        <w:rPr>
          <w:rFonts w:hint="eastAsia" w:ascii="Times New Roman" w:hAnsi="Times New Roman" w:eastAsia="仿宋_GB2312"/>
          <w:color w:val="000000" w:themeColor="text1"/>
          <w:kern w:val="0"/>
          <w:sz w:val="32"/>
          <w:szCs w:val="32"/>
          <w14:textFill>
            <w14:solidFill>
              <w14:schemeClr w14:val="tx1"/>
            </w14:solidFill>
          </w14:textFill>
        </w:rPr>
        <w:t>4</w:t>
      </w:r>
      <w:r>
        <w:rPr>
          <w:rFonts w:ascii="Times New Roman" w:hAnsi="Times New Roman" w:eastAsia="仿宋_GB2312"/>
          <w:color w:val="000000" w:themeColor="text1"/>
          <w:kern w:val="0"/>
          <w:sz w:val="32"/>
          <w:szCs w:val="32"/>
          <w:lang w:val="zh-TW"/>
          <w14:textFill>
            <w14:solidFill>
              <w14:schemeClr w14:val="tx1"/>
            </w14:solidFill>
          </w14:textFill>
        </w:rPr>
        <w:t>年末，广州市房地产中介行业已建立信用档案且备案证书有效的中介机构共计3459家</w:t>
      </w:r>
      <w:bookmarkEnd w:id="25"/>
      <w:r>
        <w:rPr>
          <w:rFonts w:ascii="Times New Roman" w:hAnsi="Times New Roman" w:eastAsia="仿宋_GB2312"/>
          <w:color w:val="000000" w:themeColor="text1"/>
          <w:kern w:val="0"/>
          <w:sz w:val="32"/>
          <w:szCs w:val="32"/>
          <w:vertAlign w:val="superscript"/>
          <w:lang w:val="zh-TW"/>
          <w14:textFill>
            <w14:solidFill>
              <w14:schemeClr w14:val="tx1"/>
            </w14:solidFill>
          </w14:textFill>
        </w:rPr>
        <w:footnoteReference w:id="9"/>
      </w:r>
      <w:r>
        <w:rPr>
          <w:rFonts w:ascii="Times New Roman" w:hAnsi="Times New Roman" w:eastAsia="仿宋_GB2312"/>
          <w:color w:val="000000" w:themeColor="text1"/>
          <w:kern w:val="0"/>
          <w:sz w:val="32"/>
          <w:szCs w:val="32"/>
          <w:lang w:val="zh-TW"/>
          <w14:textFill>
            <w14:solidFill>
              <w14:schemeClr w14:val="tx1"/>
            </w14:solidFill>
          </w14:textFill>
        </w:rPr>
        <w:t>，其中天河区备案中介机构数量598家，</w:t>
      </w:r>
      <w:r>
        <w:rPr>
          <w:rFonts w:hint="eastAsia" w:ascii="Times New Roman" w:hAnsi="Times New Roman" w:eastAsia="仿宋_GB2312"/>
          <w:color w:val="000000" w:themeColor="text1"/>
          <w:kern w:val="0"/>
          <w:sz w:val="32"/>
          <w:szCs w:val="32"/>
          <w14:textFill>
            <w14:solidFill>
              <w14:schemeClr w14:val="tx1"/>
            </w14:solidFill>
          </w14:textFill>
        </w:rPr>
        <w:t>连续三年居</w:t>
      </w:r>
      <w:r>
        <w:rPr>
          <w:rFonts w:ascii="Times New Roman" w:hAnsi="Times New Roman" w:eastAsia="仿宋_GB2312"/>
          <w:color w:val="000000" w:themeColor="text1"/>
          <w:kern w:val="0"/>
          <w:sz w:val="32"/>
          <w:szCs w:val="32"/>
          <w:lang w:val="zh-TW"/>
          <w14:textFill>
            <w14:solidFill>
              <w14:schemeClr w14:val="tx1"/>
            </w14:solidFill>
          </w14:textFill>
        </w:rPr>
        <w:t>全市</w:t>
      </w:r>
      <w:r>
        <w:rPr>
          <w:rFonts w:hint="eastAsia" w:ascii="Times New Roman" w:hAnsi="Times New Roman" w:eastAsia="仿宋_GB2312"/>
          <w:color w:val="000000" w:themeColor="text1"/>
          <w:kern w:val="0"/>
          <w:sz w:val="32"/>
          <w:szCs w:val="32"/>
          <w14:textFill>
            <w14:solidFill>
              <w14:schemeClr w14:val="tx1"/>
            </w14:solidFill>
          </w14:textFill>
        </w:rPr>
        <w:t>首位</w:t>
      </w:r>
      <w:r>
        <w:rPr>
          <w:rFonts w:ascii="Times New Roman" w:hAnsi="Times New Roman" w:eastAsia="仿宋_GB2312"/>
          <w:color w:val="000000" w:themeColor="text1"/>
          <w:kern w:val="0"/>
          <w:sz w:val="32"/>
          <w:szCs w:val="32"/>
          <w:lang w:val="zh-TW"/>
          <w14:textFill>
            <w14:solidFill>
              <w14:schemeClr w14:val="tx1"/>
            </w14:solidFill>
          </w14:textFill>
        </w:rPr>
        <w:t>。从中介机构增长</w:t>
      </w:r>
      <w:r>
        <w:rPr>
          <w:rFonts w:hint="eastAsia" w:ascii="Times New Roman" w:hAnsi="Times New Roman" w:eastAsia="仿宋_GB2312"/>
          <w:color w:val="000000" w:themeColor="text1"/>
          <w:kern w:val="0"/>
          <w:sz w:val="32"/>
          <w:szCs w:val="32"/>
          <w14:textFill>
            <w14:solidFill>
              <w14:schemeClr w14:val="tx1"/>
            </w14:solidFill>
          </w14:textFill>
        </w:rPr>
        <w:t>数量</w:t>
      </w:r>
      <w:r>
        <w:rPr>
          <w:rFonts w:ascii="Times New Roman" w:hAnsi="Times New Roman" w:eastAsia="仿宋_GB2312"/>
          <w:color w:val="000000" w:themeColor="text1"/>
          <w:kern w:val="0"/>
          <w:sz w:val="32"/>
          <w:szCs w:val="32"/>
          <w:lang w:val="zh-TW"/>
          <w14:textFill>
            <w14:solidFill>
              <w14:schemeClr w14:val="tx1"/>
            </w14:solidFill>
          </w14:textFill>
        </w:rPr>
        <w:t>看，番禺区最多，增</w:t>
      </w:r>
      <w:r>
        <w:rPr>
          <w:rFonts w:hint="eastAsia" w:ascii="Times New Roman" w:hAnsi="Times New Roman" w:eastAsia="仿宋_GB2312"/>
          <w:color w:val="000000" w:themeColor="text1"/>
          <w:kern w:val="0"/>
          <w:sz w:val="32"/>
          <w:szCs w:val="32"/>
          <w14:textFill>
            <w14:solidFill>
              <w14:schemeClr w14:val="tx1"/>
            </w14:solidFill>
          </w14:textFill>
        </w:rPr>
        <w:t>加</w:t>
      </w:r>
      <w:r>
        <w:rPr>
          <w:rFonts w:ascii="Times New Roman" w:hAnsi="Times New Roman" w:eastAsia="仿宋_GB2312"/>
          <w:color w:val="000000" w:themeColor="text1"/>
          <w:kern w:val="0"/>
          <w:sz w:val="32"/>
          <w:szCs w:val="32"/>
          <w:lang w:val="zh-TW"/>
          <w14:textFill>
            <w14:solidFill>
              <w14:schemeClr w14:val="tx1"/>
            </w14:solidFill>
          </w14:textFill>
        </w:rPr>
        <w:t>55家至580家；从增长速度看，黄埔区以12.5%居首位。全市仅从化区中介机构数量</w:t>
      </w:r>
      <w:r>
        <w:rPr>
          <w:rFonts w:hint="eastAsia" w:ascii="Times New Roman" w:hAnsi="Times New Roman" w:eastAsia="仿宋_GB2312"/>
          <w:color w:val="000000" w:themeColor="text1"/>
          <w:kern w:val="0"/>
          <w:sz w:val="32"/>
          <w:szCs w:val="32"/>
          <w14:textFill>
            <w14:solidFill>
              <w14:schemeClr w14:val="tx1"/>
            </w14:solidFill>
          </w14:textFill>
        </w:rPr>
        <w:t>连续三年</w:t>
      </w:r>
      <w:r>
        <w:rPr>
          <w:rFonts w:ascii="Times New Roman" w:hAnsi="Times New Roman" w:eastAsia="仿宋_GB2312"/>
          <w:color w:val="000000" w:themeColor="text1"/>
          <w:kern w:val="0"/>
          <w:sz w:val="32"/>
          <w:szCs w:val="32"/>
          <w:lang w:val="zh-TW"/>
          <w14:textFill>
            <w14:solidFill>
              <w14:schemeClr w14:val="tx1"/>
            </w14:solidFill>
          </w14:textFill>
        </w:rPr>
        <w:t>呈降势（见图</w:t>
      </w:r>
      <w:r>
        <w:rPr>
          <w:rFonts w:hint="eastAsia" w:ascii="Times New Roman" w:hAnsi="Times New Roman" w:eastAsia="仿宋_GB2312"/>
          <w:color w:val="000000" w:themeColor="text1"/>
          <w:kern w:val="0"/>
          <w:sz w:val="32"/>
          <w:szCs w:val="32"/>
          <w14:textFill>
            <w14:solidFill>
              <w14:schemeClr w14:val="tx1"/>
            </w14:solidFill>
          </w14:textFill>
        </w:rPr>
        <w:t>9</w:t>
      </w:r>
      <w:r>
        <w:rPr>
          <w:rFonts w:ascii="Times New Roman" w:hAnsi="Times New Roman" w:eastAsia="仿宋_GB2312"/>
          <w:color w:val="000000" w:themeColor="text1"/>
          <w:kern w:val="0"/>
          <w:sz w:val="32"/>
          <w:szCs w:val="32"/>
          <w:lang w:val="zh-TW"/>
          <w14:textFill>
            <w14:solidFill>
              <w14:schemeClr w14:val="tx1"/>
            </w14:solidFill>
          </w14:textFill>
        </w:rPr>
        <w:t>）。</w:t>
      </w:r>
    </w:p>
    <w:p w14:paraId="233EFC0A">
      <w:pPr>
        <w:spacing w:line="360" w:lineRule="auto"/>
        <w:jc w:val="center"/>
        <w:rPr>
          <w:rFonts w:ascii="Times New Roman" w:hAnsi="Times New Roman"/>
          <w:color w:val="FF0000"/>
          <w:sz w:val="24"/>
        </w:rPr>
      </w:pPr>
      <w:r>
        <w:rPr>
          <w:rFonts w:ascii="Times New Roman" w:hAnsi="Times New Roman"/>
          <w:color w:val="FF0000"/>
          <w:sz w:val="24"/>
        </w:rPr>
        <w:drawing>
          <wp:inline distT="0" distB="0" distL="0" distR="0">
            <wp:extent cx="5669280" cy="3000375"/>
            <wp:effectExtent l="0" t="0" r="762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672753" cy="3002676"/>
                    </a:xfrm>
                    <a:prstGeom prst="rect">
                      <a:avLst/>
                    </a:prstGeom>
                    <a:noFill/>
                  </pic:spPr>
                </pic:pic>
              </a:graphicData>
            </a:graphic>
          </wp:inline>
        </w:drawing>
      </w:r>
    </w:p>
    <w:p w14:paraId="256CE749">
      <w:pPr>
        <w:jc w:val="center"/>
        <w:rPr>
          <w:rFonts w:ascii="Times New Roman" w:hAnsi="Times New Roman"/>
          <w:sz w:val="24"/>
        </w:rPr>
      </w:pPr>
      <w:r>
        <w:rPr>
          <w:rFonts w:ascii="Times New Roman" w:hAnsi="Times New Roman"/>
          <w:sz w:val="24"/>
        </w:rPr>
        <w:t>图</w:t>
      </w:r>
      <w:r>
        <w:rPr>
          <w:rFonts w:hint="eastAsia" w:ascii="Times New Roman" w:hAnsi="Times New Roman"/>
          <w:sz w:val="24"/>
        </w:rPr>
        <w:t>9</w:t>
      </w:r>
      <w:r>
        <w:rPr>
          <w:rFonts w:ascii="Times New Roman" w:hAnsi="Times New Roman"/>
          <w:sz w:val="24"/>
        </w:rPr>
        <w:t xml:space="preserve">  近3年各区备案中介机构数量</w:t>
      </w:r>
    </w:p>
    <w:p w14:paraId="15FE39AC">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742E3CEF">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3459家中介机构中，平均存续年限为5.1年，</w:t>
      </w:r>
      <w:r>
        <w:rPr>
          <w:rFonts w:ascii="Times New Roman" w:hAnsi="Times New Roman" w:eastAsia="仿宋_GB2312"/>
          <w:color w:val="000000" w:themeColor="text1"/>
          <w:kern w:val="0"/>
          <w:sz w:val="32"/>
          <w:szCs w:val="32"/>
          <w14:textFill>
            <w14:solidFill>
              <w14:schemeClr w14:val="tx1"/>
            </w14:solidFill>
          </w14:textFill>
        </w:rPr>
        <w:t>与</w:t>
      </w:r>
      <w:r>
        <w:rPr>
          <w:rFonts w:ascii="Times New Roman" w:hAnsi="Times New Roman" w:eastAsia="仿宋_GB2312"/>
          <w:color w:val="000000" w:themeColor="text1"/>
          <w:kern w:val="0"/>
          <w:sz w:val="32"/>
          <w:szCs w:val="32"/>
          <w:lang w:val="zh-TW"/>
          <w14:textFill>
            <w14:solidFill>
              <w14:schemeClr w14:val="tx1"/>
            </w14:solidFill>
          </w14:textFill>
        </w:rPr>
        <w:t>2023年持平；其中存续年限在3年以下的有1491家，较2023年增加125家；有824家中介机构的存续年限在3年</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含</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至6年；存续年限在6年</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含</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至9年的中介机构数量</w:t>
      </w:r>
      <w:r>
        <w:rPr>
          <w:rFonts w:hint="eastAsia" w:ascii="Times New Roman" w:hAnsi="Times New Roman" w:eastAsia="仿宋_GB2312"/>
          <w:color w:val="000000" w:themeColor="text1"/>
          <w:kern w:val="0"/>
          <w:sz w:val="32"/>
          <w:szCs w:val="32"/>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471家</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同比增加50家（见图</w:t>
      </w:r>
      <w:r>
        <w:rPr>
          <w:rFonts w:hint="eastAsia" w:ascii="Times New Roman" w:hAnsi="Times New Roman" w:eastAsia="仿宋_GB2312"/>
          <w:color w:val="000000" w:themeColor="text1"/>
          <w:kern w:val="0"/>
          <w:sz w:val="32"/>
          <w:szCs w:val="32"/>
          <w14:textFill>
            <w14:solidFill>
              <w14:schemeClr w14:val="tx1"/>
            </w14:solidFill>
          </w14:textFill>
        </w:rPr>
        <w:t>10</w:t>
      </w:r>
      <w:r>
        <w:rPr>
          <w:rFonts w:ascii="Times New Roman" w:hAnsi="Times New Roman" w:eastAsia="仿宋_GB2312"/>
          <w:color w:val="000000" w:themeColor="text1"/>
          <w:kern w:val="0"/>
          <w:sz w:val="32"/>
          <w:szCs w:val="32"/>
          <w:lang w:val="zh-TW"/>
          <w14:textFill>
            <w14:solidFill>
              <w14:schemeClr w14:val="tx1"/>
            </w14:solidFill>
          </w14:textFill>
        </w:rPr>
        <w:t>）。</w:t>
      </w:r>
    </w:p>
    <w:p w14:paraId="1255D7A3">
      <w:pPr>
        <w:widowControl/>
        <w:jc w:val="center"/>
        <w:rPr>
          <w:rFonts w:ascii="Times New Roman" w:hAnsi="Times New Roman"/>
          <w:color w:val="FF0000"/>
          <w:sz w:val="24"/>
        </w:rPr>
      </w:pPr>
      <w:r>
        <w:rPr>
          <w:rFonts w:ascii="Times New Roman" w:hAnsi="Times New Roman"/>
          <w:color w:val="FF0000"/>
          <w:sz w:val="24"/>
        </w:rPr>
        <w:drawing>
          <wp:inline distT="0" distB="0" distL="0" distR="0">
            <wp:extent cx="5716905" cy="303339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716337" cy="3033194"/>
                    </a:xfrm>
                    <a:prstGeom prst="rect">
                      <a:avLst/>
                    </a:prstGeom>
                    <a:noFill/>
                  </pic:spPr>
                </pic:pic>
              </a:graphicData>
            </a:graphic>
          </wp:inline>
        </w:drawing>
      </w:r>
    </w:p>
    <w:p w14:paraId="734456E6">
      <w:pPr>
        <w:jc w:val="center"/>
        <w:rPr>
          <w:rFonts w:ascii="Times New Roman" w:hAnsi="Times New Roman"/>
          <w:color w:val="000000" w:themeColor="text1"/>
          <w:sz w:val="22"/>
          <w14:textFill>
            <w14:solidFill>
              <w14:schemeClr w14:val="tx1"/>
            </w14:solidFill>
          </w14:textFill>
        </w:rPr>
      </w:pPr>
      <w:r>
        <w:rPr>
          <w:rFonts w:ascii="Times New Roman" w:hAnsi="Times New Roman"/>
          <w:sz w:val="24"/>
        </w:rPr>
        <w:t>图</w:t>
      </w:r>
      <w:r>
        <w:rPr>
          <w:rFonts w:hint="eastAsia" w:ascii="Times New Roman" w:hAnsi="Times New Roman"/>
          <w:sz w:val="24"/>
        </w:rPr>
        <w:t>10</w:t>
      </w:r>
      <w:r>
        <w:rPr>
          <w:rFonts w:ascii="Times New Roman" w:hAnsi="Times New Roman"/>
          <w:sz w:val="24"/>
        </w:rPr>
        <w:t xml:space="preserve">  各存续年限区间对应的中介机构数量</w:t>
      </w:r>
    </w:p>
    <w:p w14:paraId="7B5ED501">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3ACF2F20">
      <w:pPr>
        <w:spacing w:line="360" w:lineRule="auto"/>
        <w:ind w:right="840"/>
        <w:jc w:val="center"/>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drawing>
          <wp:inline distT="0" distB="0" distL="0" distR="0">
            <wp:extent cx="4590415" cy="2926080"/>
            <wp:effectExtent l="0" t="0" r="635" b="762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590415" cy="2926080"/>
                    </a:xfrm>
                    <a:prstGeom prst="rect">
                      <a:avLst/>
                    </a:prstGeom>
                    <a:noFill/>
                  </pic:spPr>
                </pic:pic>
              </a:graphicData>
            </a:graphic>
          </wp:inline>
        </w:drawing>
      </w:r>
    </w:p>
    <w:p w14:paraId="33697D1A">
      <w:pPr>
        <w:jc w:val="center"/>
        <w:rPr>
          <w:rFonts w:ascii="Times New Roman" w:hAnsi="Times New Roman"/>
          <w:sz w:val="24"/>
        </w:rPr>
      </w:pPr>
      <w:r>
        <w:rPr>
          <w:rFonts w:ascii="Times New Roman" w:hAnsi="Times New Roman"/>
          <w:sz w:val="24"/>
        </w:rPr>
        <w:t>图1</w:t>
      </w:r>
      <w:r>
        <w:rPr>
          <w:rFonts w:hint="eastAsia" w:ascii="Times New Roman" w:hAnsi="Times New Roman"/>
          <w:sz w:val="24"/>
        </w:rPr>
        <w:t>1</w:t>
      </w:r>
      <w:r>
        <w:rPr>
          <w:rFonts w:ascii="Times New Roman" w:hAnsi="Times New Roman"/>
          <w:sz w:val="24"/>
        </w:rPr>
        <w:t xml:space="preserve">  中介机构信用等级结构</w:t>
      </w:r>
    </w:p>
    <w:p w14:paraId="739FB976">
      <w:pPr>
        <w:jc w:val="right"/>
        <w:rPr>
          <w:rFonts w:ascii="Times New Roman" w:hAnsi="Times New Roman"/>
          <w:color w:val="000000" w:themeColor="text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1F8E247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3459家中介机构中，</w:t>
      </w:r>
      <w:bookmarkStart w:id="26" w:name="OLE_LINK61"/>
      <w:bookmarkStart w:id="27" w:name="OLE_LINK60"/>
      <w:r>
        <w:rPr>
          <w:rFonts w:ascii="Times New Roman" w:hAnsi="Times New Roman" w:eastAsia="仿宋_GB2312"/>
          <w:color w:val="000000" w:themeColor="text1"/>
          <w:kern w:val="0"/>
          <w:sz w:val="32"/>
          <w:szCs w:val="32"/>
          <w:lang w:val="zh-TW"/>
          <w14:textFill>
            <w14:solidFill>
              <w14:schemeClr w14:val="tx1"/>
            </w14:solidFill>
          </w14:textFill>
        </w:rPr>
        <w:t>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lang w:val="zh-TW"/>
          <w14:textFill>
            <w14:solidFill>
              <w14:schemeClr w14:val="tx1"/>
            </w14:solidFill>
          </w14:textFill>
        </w:rPr>
        <w:t>的有20家，较2023年减少6家；</w:t>
      </w:r>
      <w:r>
        <w:rPr>
          <w:rFonts w:hint="eastAsia" w:ascii="仿宋_GB2312" w:hAnsi="Times New Roman" w:eastAsia="仿宋_GB2312"/>
          <w:color w:val="000000" w:themeColor="text1"/>
          <w:kern w:val="0"/>
          <w:sz w:val="32"/>
          <w:szCs w:val="32"/>
          <w:lang w:val="zh-TW"/>
          <w14:textFill>
            <w14:solidFill>
              <w14:schemeClr w14:val="tx1"/>
            </w14:solidFill>
          </w14:textFill>
        </w:rPr>
        <w:t>“良好”</w:t>
      </w:r>
      <w:r>
        <w:rPr>
          <w:rFonts w:ascii="Times New Roman" w:hAnsi="Times New Roman" w:eastAsia="仿宋_GB2312"/>
          <w:color w:val="000000" w:themeColor="text1"/>
          <w:kern w:val="0"/>
          <w:sz w:val="32"/>
          <w:szCs w:val="32"/>
          <w:lang w:val="zh-TW"/>
          <w14:textFill>
            <w14:solidFill>
              <w14:schemeClr w14:val="tx1"/>
            </w14:solidFill>
          </w14:textFill>
        </w:rPr>
        <w:t>的有17家；</w:t>
      </w:r>
      <w:r>
        <w:rPr>
          <w:rFonts w:hint="eastAsia" w:ascii="仿宋_GB2312" w:hAnsi="Times New Roman" w:eastAsia="仿宋_GB2312"/>
          <w:color w:val="000000" w:themeColor="text1"/>
          <w:kern w:val="0"/>
          <w:sz w:val="32"/>
          <w:szCs w:val="32"/>
          <w:lang w:val="zh-TW"/>
          <w14:textFill>
            <w14:solidFill>
              <w14:schemeClr w14:val="tx1"/>
            </w14:solidFill>
          </w14:textFill>
        </w:rPr>
        <w:t>“诚信”</w:t>
      </w:r>
      <w:r>
        <w:rPr>
          <w:rFonts w:ascii="Times New Roman" w:hAnsi="Times New Roman" w:eastAsia="仿宋_GB2312"/>
          <w:color w:val="000000" w:themeColor="text1"/>
          <w:kern w:val="0"/>
          <w:sz w:val="32"/>
          <w:szCs w:val="32"/>
          <w:lang w:val="zh-TW"/>
          <w14:textFill>
            <w14:solidFill>
              <w14:schemeClr w14:val="tx1"/>
            </w14:solidFill>
          </w14:textFill>
        </w:rPr>
        <w:t>的</w:t>
      </w:r>
      <w:r>
        <w:rPr>
          <w:rFonts w:hint="eastAsia" w:ascii="Times New Roman" w:hAnsi="Times New Roman" w:eastAsia="仿宋_GB2312"/>
          <w:color w:val="000000" w:themeColor="text1"/>
          <w:kern w:val="0"/>
          <w:sz w:val="32"/>
          <w:szCs w:val="32"/>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2203家，占63.</w:t>
      </w:r>
      <w:r>
        <w:rPr>
          <w:rFonts w:hint="eastAsia" w:ascii="Times New Roman" w:hAnsi="Times New Roman" w:eastAsia="仿宋_GB2312"/>
          <w:color w:val="000000" w:themeColor="text1"/>
          <w:kern w:val="0"/>
          <w:sz w:val="32"/>
          <w:szCs w:val="32"/>
          <w:lang w:val="zh-TW"/>
          <w14:textFill>
            <w14:solidFill>
              <w14:schemeClr w14:val="tx1"/>
            </w14:solidFill>
          </w14:textFill>
        </w:rPr>
        <w:t>6</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仿宋_GB2312" w:hAnsi="Times New Roman" w:eastAsia="仿宋_GB2312"/>
          <w:color w:val="000000" w:themeColor="text1"/>
          <w:kern w:val="0"/>
          <w:sz w:val="32"/>
          <w:szCs w:val="32"/>
          <w:lang w:val="zh-TW"/>
          <w14:textFill>
            <w14:solidFill>
              <w14:schemeClr w14:val="tx1"/>
            </w14:solidFill>
          </w14:textFill>
        </w:rPr>
        <w:t>“暂定诚信”</w:t>
      </w:r>
      <w:r>
        <w:rPr>
          <w:rFonts w:ascii="Times New Roman" w:hAnsi="Times New Roman" w:eastAsia="仿宋_GB2312"/>
          <w:color w:val="000000" w:themeColor="text1"/>
          <w:kern w:val="0"/>
          <w:sz w:val="32"/>
          <w:szCs w:val="32"/>
          <w:lang w:val="zh-TW"/>
          <w14:textFill>
            <w14:solidFill>
              <w14:schemeClr w14:val="tx1"/>
            </w14:solidFill>
          </w14:textFill>
        </w:rPr>
        <w:t>的</w:t>
      </w:r>
      <w:r>
        <w:rPr>
          <w:rFonts w:hint="eastAsia" w:ascii="Times New Roman" w:hAnsi="Times New Roman" w:eastAsia="仿宋_GB2312"/>
          <w:color w:val="000000" w:themeColor="text1"/>
          <w:kern w:val="0"/>
          <w:sz w:val="32"/>
          <w:szCs w:val="32"/>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1217家，占35.2%；</w:t>
      </w:r>
      <w:r>
        <w:rPr>
          <w:rFonts w:hint="eastAsia" w:ascii="仿宋_GB2312" w:hAnsi="Times New Roman" w:eastAsia="仿宋_GB2312"/>
          <w:color w:val="000000" w:themeColor="text1"/>
          <w:kern w:val="0"/>
          <w:sz w:val="32"/>
          <w:szCs w:val="32"/>
          <w:lang w:val="zh-TW"/>
          <w14:textFill>
            <w14:solidFill>
              <w14:schemeClr w14:val="tx1"/>
            </w14:solidFill>
          </w14:textFill>
        </w:rPr>
        <w:t>“预警”</w:t>
      </w:r>
      <w:r>
        <w:rPr>
          <w:rFonts w:hint="eastAsia" w:ascii="Times New Roman" w:hAnsi="Times New Roman" w:eastAsia="仿宋_GB2312"/>
          <w:color w:val="000000" w:themeColor="text1"/>
          <w:kern w:val="0"/>
          <w:sz w:val="32"/>
          <w:szCs w:val="32"/>
          <w:lang w:val="zh-TW"/>
          <w14:textFill>
            <w14:solidFill>
              <w14:schemeClr w14:val="tx1"/>
            </w14:solidFill>
          </w14:textFill>
        </w:rPr>
        <w:t>的有2家；</w:t>
      </w:r>
      <w:r>
        <w:rPr>
          <w:rFonts w:ascii="Times New Roman" w:hAnsi="Times New Roman" w:eastAsia="仿宋_GB2312"/>
          <w:color w:val="000000" w:themeColor="text1"/>
          <w:kern w:val="0"/>
          <w:sz w:val="32"/>
          <w:szCs w:val="32"/>
          <w:lang w:val="zh-TW"/>
          <w14:textFill>
            <w14:solidFill>
              <w14:schemeClr w14:val="tx1"/>
            </w14:solidFill>
          </w14:textFill>
        </w:rPr>
        <w:t>无信用等级为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“失信”</w:t>
      </w:r>
      <w:r>
        <w:rPr>
          <w:rFonts w:ascii="Times New Roman" w:hAnsi="Times New Roman" w:eastAsia="仿宋_GB2312"/>
          <w:color w:val="000000" w:themeColor="text1"/>
          <w:kern w:val="0"/>
          <w:sz w:val="32"/>
          <w:szCs w:val="32"/>
          <w:lang w:val="zh-TW"/>
          <w14:textFill>
            <w14:solidFill>
              <w14:schemeClr w14:val="tx1"/>
            </w14:solidFill>
          </w14:textFill>
        </w:rPr>
        <w:t>的中介机构。</w:t>
      </w:r>
      <w:bookmarkEnd w:id="26"/>
      <w:bookmarkEnd w:id="27"/>
      <w:r>
        <w:rPr>
          <w:rFonts w:ascii="Times New Roman" w:hAnsi="Times New Roman" w:eastAsia="仿宋_GB2312"/>
          <w:color w:val="000000" w:themeColor="text1"/>
          <w:kern w:val="0"/>
          <w:sz w:val="32"/>
          <w:szCs w:val="32"/>
          <w:lang w:val="zh-TW"/>
          <w14:textFill>
            <w14:solidFill>
              <w14:schemeClr w14:val="tx1"/>
            </w14:solidFill>
          </w14:textFill>
        </w:rPr>
        <w:t>如图</w:t>
      </w:r>
      <w:r>
        <w:rPr>
          <w:rFonts w:hint="eastAsia" w:ascii="Times New Roman" w:hAnsi="Times New Roman" w:eastAsia="仿宋_GB2312"/>
          <w:color w:val="000000" w:themeColor="text1"/>
          <w:kern w:val="0"/>
          <w:sz w:val="32"/>
          <w:szCs w:val="32"/>
          <w14:textFill>
            <w14:solidFill>
              <w14:schemeClr w14:val="tx1"/>
            </w14:solidFill>
          </w14:textFill>
        </w:rPr>
        <w:t>11</w:t>
      </w:r>
      <w:r>
        <w:rPr>
          <w:rFonts w:ascii="Times New Roman" w:hAnsi="Times New Roman" w:eastAsia="仿宋_GB2312"/>
          <w:color w:val="000000" w:themeColor="text1"/>
          <w:kern w:val="0"/>
          <w:sz w:val="32"/>
          <w:szCs w:val="32"/>
          <w:lang w:val="zh-TW"/>
          <w14:textFill>
            <w14:solidFill>
              <w14:schemeClr w14:val="tx1"/>
            </w14:solidFill>
          </w14:textFill>
        </w:rPr>
        <w:t>所示，</w:t>
      </w:r>
      <w:bookmarkStart w:id="28" w:name="OLE_LINK62"/>
      <w:r>
        <w:rPr>
          <w:rFonts w:ascii="Times New Roman" w:hAnsi="Times New Roman" w:eastAsia="仿宋_GB2312"/>
          <w:color w:val="000000" w:themeColor="text1"/>
          <w:kern w:val="0"/>
          <w:sz w:val="32"/>
          <w:szCs w:val="32"/>
          <w14:textFill>
            <w14:solidFill>
              <w14:schemeClr w14:val="tx1"/>
            </w14:solidFill>
          </w14:textFill>
        </w:rPr>
        <w:t>全市</w:t>
      </w:r>
      <w:r>
        <w:rPr>
          <w:rFonts w:hint="eastAsia" w:ascii="仿宋_GB2312" w:hAnsi="Times New Roman" w:eastAsia="仿宋_GB2312"/>
          <w:color w:val="000000" w:themeColor="text1"/>
          <w:kern w:val="0"/>
          <w:sz w:val="32"/>
          <w:szCs w:val="32"/>
          <w:lang w:val="zh-TW"/>
          <w14:textFill>
            <w14:solidFill>
              <w14:schemeClr w14:val="tx1"/>
            </w14:solidFill>
          </w14:textFill>
        </w:rPr>
        <w:t>“诚信”和“暂定诚信”</w:t>
      </w:r>
      <w:r>
        <w:rPr>
          <w:rFonts w:ascii="Times New Roman" w:hAnsi="Times New Roman" w:eastAsia="仿宋_GB2312"/>
          <w:color w:val="000000" w:themeColor="text1"/>
          <w:kern w:val="0"/>
          <w:sz w:val="32"/>
          <w:szCs w:val="32"/>
          <w:lang w:val="zh-TW"/>
          <w14:textFill>
            <w14:solidFill>
              <w14:schemeClr w14:val="tx1"/>
            </w14:solidFill>
          </w14:textFill>
        </w:rPr>
        <w:t>等级的中介机构占绝对主体，两者占比合计达到98.</w:t>
      </w:r>
      <w:r>
        <w:rPr>
          <w:rFonts w:hint="eastAsia" w:ascii="Times New Roman" w:hAnsi="Times New Roman" w:eastAsia="仿宋_GB2312"/>
          <w:color w:val="000000" w:themeColor="text1"/>
          <w:kern w:val="0"/>
          <w:sz w:val="32"/>
          <w:szCs w:val="32"/>
          <w:lang w:val="zh-TW"/>
          <w14:textFill>
            <w14:solidFill>
              <w14:schemeClr w14:val="tx1"/>
            </w14:solidFill>
          </w14:textFill>
        </w:rPr>
        <w:t>8</w:t>
      </w:r>
      <w:r>
        <w:rPr>
          <w:rFonts w:ascii="Times New Roman" w:hAnsi="Times New Roman" w:eastAsia="仿宋_GB2312"/>
          <w:color w:val="000000" w:themeColor="text1"/>
          <w:kern w:val="0"/>
          <w:sz w:val="32"/>
          <w:szCs w:val="32"/>
          <w:lang w:val="zh-TW"/>
          <w14:textFill>
            <w14:solidFill>
              <w14:schemeClr w14:val="tx1"/>
            </w14:solidFill>
          </w14:textFill>
        </w:rPr>
        <w:t>%。</w:t>
      </w:r>
      <w:bookmarkEnd w:id="28"/>
    </w:p>
    <w:p w14:paraId="1C9351A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113DAA0A">
      <w:pPr>
        <w:jc w:val="center"/>
        <w:rPr>
          <w:rFonts w:ascii="Times New Roman" w:hAnsi="Times New Roman"/>
          <w:sz w:val="24"/>
        </w:rPr>
      </w:pPr>
      <w:r>
        <w:rPr>
          <w:rFonts w:ascii="Times New Roman" w:hAnsi="Times New Roman"/>
          <w:sz w:val="24"/>
        </w:rPr>
        <w:t>表</w:t>
      </w:r>
      <w:r>
        <w:rPr>
          <w:rFonts w:hint="eastAsia" w:ascii="Times New Roman" w:hAnsi="Times New Roman"/>
          <w:sz w:val="24"/>
        </w:rPr>
        <w:t>4</w:t>
      </w:r>
      <w:r>
        <w:rPr>
          <w:rFonts w:ascii="Times New Roman" w:hAnsi="Times New Roman"/>
          <w:sz w:val="24"/>
        </w:rPr>
        <w:t xml:space="preserve">  2024年广州市信用等级为</w:t>
      </w:r>
      <w:r>
        <w:rPr>
          <w:rFonts w:hint="eastAsia" w:ascii="Times New Roman" w:hAnsi="Times New Roman" w:eastAsia="仿宋"/>
          <w:b w:val="0"/>
          <w:color w:val="000000" w:themeColor="text1"/>
          <w:sz w:val="24"/>
          <w:szCs w:val="23"/>
          <w14:textFill>
            <w14:solidFill>
              <w14:schemeClr w14:val="tx1"/>
            </w14:solidFill>
          </w14:textFill>
        </w:rPr>
        <w:t>“</w:t>
      </w:r>
      <w:r>
        <w:rPr>
          <w:rFonts w:ascii="Times New Roman" w:hAnsi="Times New Roman"/>
          <w:sz w:val="24"/>
        </w:rPr>
        <w:t>优质</w:t>
      </w:r>
      <w:r>
        <w:rPr>
          <w:rFonts w:hint="eastAsia" w:ascii="Times New Roman" w:hAnsi="Times New Roman" w:eastAsia="仿宋"/>
          <w:b w:val="0"/>
          <w:color w:val="000000" w:themeColor="text1"/>
          <w:sz w:val="24"/>
          <w:szCs w:val="23"/>
          <w14:textFill>
            <w14:solidFill>
              <w14:schemeClr w14:val="tx1"/>
            </w14:solidFill>
          </w14:textFill>
        </w:rPr>
        <w:t>”“</w:t>
      </w:r>
      <w:r>
        <w:rPr>
          <w:rFonts w:ascii="Times New Roman" w:hAnsi="Times New Roman"/>
          <w:sz w:val="24"/>
        </w:rPr>
        <w:t>良好</w:t>
      </w:r>
      <w:r>
        <w:rPr>
          <w:rFonts w:hint="eastAsia" w:ascii="Times New Roman" w:hAnsi="Times New Roman" w:eastAsia="仿宋"/>
          <w:b w:val="0"/>
          <w:color w:val="000000" w:themeColor="text1"/>
          <w:sz w:val="24"/>
          <w:szCs w:val="23"/>
          <w14:textFill>
            <w14:solidFill>
              <w14:schemeClr w14:val="tx1"/>
            </w14:solidFill>
          </w14:textFill>
        </w:rPr>
        <w:t>”</w:t>
      </w:r>
      <w:r>
        <w:rPr>
          <w:rFonts w:hint="eastAsia" w:asciiTheme="minorEastAsia" w:hAnsiTheme="minorEastAsia" w:eastAsiaTheme="minorEastAsia"/>
          <w:b w:val="0"/>
          <w:color w:val="000000" w:themeColor="text1"/>
          <w:sz w:val="24"/>
          <w:szCs w:val="23"/>
          <w14:textFill>
            <w14:solidFill>
              <w14:schemeClr w14:val="tx1"/>
            </w14:solidFill>
          </w14:textFill>
        </w:rPr>
        <w:t>及</w:t>
      </w:r>
      <w:r>
        <w:rPr>
          <w:rFonts w:hint="eastAsia" w:ascii="Times New Roman" w:hAnsi="Times New Roman" w:eastAsia="仿宋"/>
          <w:b w:val="0"/>
          <w:color w:val="000000" w:themeColor="text1"/>
          <w:sz w:val="24"/>
          <w:szCs w:val="23"/>
          <w14:textFill>
            <w14:solidFill>
              <w14:schemeClr w14:val="tx1"/>
            </w14:solidFill>
          </w14:textFill>
        </w:rPr>
        <w:t>“</w:t>
      </w:r>
      <w:r>
        <w:rPr>
          <w:rFonts w:ascii="Times New Roman" w:hAnsi="Times New Roman"/>
          <w:sz w:val="24"/>
        </w:rPr>
        <w:t>预警</w:t>
      </w:r>
      <w:r>
        <w:rPr>
          <w:rFonts w:hint="eastAsia" w:ascii="Times New Roman" w:hAnsi="Times New Roman" w:eastAsia="仿宋"/>
          <w:b w:val="0"/>
          <w:color w:val="000000" w:themeColor="text1"/>
          <w:sz w:val="24"/>
          <w:szCs w:val="23"/>
          <w14:textFill>
            <w14:solidFill>
              <w14:schemeClr w14:val="tx1"/>
            </w14:solidFill>
          </w14:textFill>
        </w:rPr>
        <w:t>”</w:t>
      </w:r>
      <w:r>
        <w:rPr>
          <w:rFonts w:ascii="Times New Roman" w:hAnsi="Times New Roman"/>
          <w:sz w:val="24"/>
        </w:rPr>
        <w:t>的中介机构名单</w:t>
      </w:r>
    </w:p>
    <w:tbl>
      <w:tblPr>
        <w:tblStyle w:val="1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4603"/>
        <w:gridCol w:w="1276"/>
        <w:gridCol w:w="1275"/>
        <w:gridCol w:w="1276"/>
      </w:tblGrid>
      <w:tr w14:paraId="1FE6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953B1B9">
            <w:pPr>
              <w:jc w:val="center"/>
              <w:rPr>
                <w:rFonts w:ascii="Times New Roman" w:hAnsi="Times New Roman" w:eastAsia="黑体"/>
                <w:b/>
                <w:color w:val="000000" w:themeColor="text1"/>
                <w:sz w:val="22"/>
                <w:szCs w:val="23"/>
                <w14:textFill>
                  <w14:solidFill>
                    <w14:schemeClr w14:val="tx1"/>
                  </w14:solidFill>
                </w14:textFill>
              </w:rPr>
            </w:pPr>
            <w:bookmarkStart w:id="29" w:name="_Hlk190865685"/>
            <w:r>
              <w:rPr>
                <w:rFonts w:ascii="Times New Roman" w:hAnsi="Times New Roman" w:eastAsia="黑体"/>
                <w:b/>
                <w:color w:val="000000" w:themeColor="text1"/>
                <w:sz w:val="22"/>
                <w:szCs w:val="23"/>
                <w14:textFill>
                  <w14:solidFill>
                    <w14:schemeClr w14:val="tx1"/>
                  </w14:solidFill>
                </w14:textFill>
              </w:rPr>
              <w:t>序号</w:t>
            </w:r>
          </w:p>
        </w:tc>
        <w:tc>
          <w:tcPr>
            <w:tcW w:w="4603" w:type="dxa"/>
            <w:shd w:val="clear" w:color="auto" w:fill="auto"/>
            <w:vAlign w:val="center"/>
          </w:tcPr>
          <w:p w14:paraId="3383405D">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中介机构名称</w:t>
            </w:r>
          </w:p>
        </w:tc>
        <w:tc>
          <w:tcPr>
            <w:tcW w:w="1276" w:type="dxa"/>
            <w:shd w:val="clear" w:color="auto" w:fill="auto"/>
            <w:vAlign w:val="center"/>
          </w:tcPr>
          <w:p w14:paraId="1A086651">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信用评分</w:t>
            </w:r>
          </w:p>
        </w:tc>
        <w:tc>
          <w:tcPr>
            <w:tcW w:w="1275" w:type="dxa"/>
            <w:shd w:val="clear" w:color="auto" w:fill="auto"/>
            <w:vAlign w:val="center"/>
          </w:tcPr>
          <w:p w14:paraId="5FD68B8D">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信用等级</w:t>
            </w:r>
          </w:p>
        </w:tc>
        <w:tc>
          <w:tcPr>
            <w:tcW w:w="1276" w:type="dxa"/>
            <w:shd w:val="clear" w:color="auto" w:fill="auto"/>
            <w:vAlign w:val="center"/>
          </w:tcPr>
          <w:p w14:paraId="5EA334B8">
            <w:pPr>
              <w:jc w:val="center"/>
              <w:rPr>
                <w:rFonts w:ascii="Times New Roman" w:hAnsi="Times New Roman" w:eastAsia="黑体"/>
                <w:b/>
                <w:color w:val="000000" w:themeColor="text1"/>
                <w:sz w:val="23"/>
                <w:szCs w:val="23"/>
                <w14:textFill>
                  <w14:solidFill>
                    <w14:schemeClr w14:val="tx1"/>
                  </w14:solidFill>
                </w14:textFill>
              </w:rPr>
            </w:pPr>
            <w:r>
              <w:rPr>
                <w:rFonts w:ascii="Times New Roman" w:hAnsi="Times New Roman" w:eastAsia="黑体"/>
                <w:b/>
                <w:color w:val="000000" w:themeColor="text1"/>
                <w:sz w:val="23"/>
                <w:szCs w:val="23"/>
                <w14:textFill>
                  <w14:solidFill>
                    <w14:schemeClr w14:val="tx1"/>
                  </w14:solidFill>
                </w14:textFill>
              </w:rPr>
              <w:t>存续年限</w:t>
            </w:r>
          </w:p>
        </w:tc>
      </w:tr>
      <w:tr w14:paraId="63D9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9" w:type="dxa"/>
            <w:gridSpan w:val="5"/>
            <w:shd w:val="clear" w:color="auto" w:fill="auto"/>
            <w:vAlign w:val="center"/>
          </w:tcPr>
          <w:p w14:paraId="47822C6D">
            <w:pPr>
              <w:jc w:val="center"/>
              <w:rPr>
                <w:rFonts w:ascii="Times New Roman" w:hAnsi="Times New Roman" w:eastAsia="仿宋"/>
                <w:b/>
                <w:color w:val="000000" w:themeColor="text1"/>
                <w:sz w:val="22"/>
                <w:szCs w:val="23"/>
                <w14:textFill>
                  <w14:solidFill>
                    <w14:schemeClr w14:val="tx1"/>
                  </w14:solidFill>
                </w14:textFill>
              </w:rPr>
            </w:pPr>
            <w:r>
              <w:rPr>
                <w:rFonts w:hint="eastAsia" w:ascii="Times New Roman" w:hAnsi="Times New Roman" w:eastAsia="仿宋"/>
                <w:b/>
                <w:color w:val="000000" w:themeColor="text1"/>
                <w:sz w:val="24"/>
                <w:szCs w:val="23"/>
                <w14:textFill>
                  <w14:solidFill>
                    <w14:schemeClr w14:val="tx1"/>
                  </w14:solidFill>
                </w14:textFill>
              </w:rPr>
              <w:t>“</w:t>
            </w:r>
            <w:r>
              <w:rPr>
                <w:rFonts w:ascii="Times New Roman" w:hAnsi="Times New Roman" w:eastAsia="仿宋"/>
                <w:b/>
                <w:color w:val="000000" w:themeColor="text1"/>
                <w:sz w:val="24"/>
                <w:szCs w:val="23"/>
                <w14:textFill>
                  <w14:solidFill>
                    <w14:schemeClr w14:val="tx1"/>
                  </w14:solidFill>
                </w14:textFill>
              </w:rPr>
              <w:t>优质</w:t>
            </w:r>
            <w:r>
              <w:rPr>
                <w:rFonts w:hint="eastAsia" w:ascii="Times New Roman" w:hAnsi="Times New Roman" w:eastAsia="仿宋"/>
                <w:b/>
                <w:color w:val="000000" w:themeColor="text1"/>
                <w:sz w:val="24"/>
                <w:szCs w:val="23"/>
                <w14:textFill>
                  <w14:solidFill>
                    <w14:schemeClr w14:val="tx1"/>
                  </w14:solidFill>
                </w14:textFill>
              </w:rPr>
              <w:t>”</w:t>
            </w:r>
            <w:r>
              <w:rPr>
                <w:rFonts w:ascii="Times New Roman" w:hAnsi="Times New Roman" w:eastAsia="仿宋"/>
                <w:b/>
                <w:color w:val="000000" w:themeColor="text1"/>
                <w:sz w:val="24"/>
                <w:szCs w:val="23"/>
                <w14:textFill>
                  <w14:solidFill>
                    <w14:schemeClr w14:val="tx1"/>
                  </w14:solidFill>
                </w14:textFill>
              </w:rPr>
              <w:t>等级中介机构名单（共20家）</w:t>
            </w:r>
          </w:p>
        </w:tc>
      </w:tr>
      <w:tr w14:paraId="07B4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0EEE3020">
            <w:pPr>
              <w:jc w:val="center"/>
              <w:rPr>
                <w:rFonts w:ascii="Times New Roman" w:hAnsi="Times New Roman"/>
                <w:color w:val="000000"/>
                <w:sz w:val="24"/>
              </w:rPr>
            </w:pPr>
            <w:r>
              <w:rPr>
                <w:rFonts w:ascii="Times New Roman" w:hAnsi="Times New Roman"/>
                <w:color w:val="000000"/>
                <w:sz w:val="24"/>
              </w:rPr>
              <w:t>1</w:t>
            </w:r>
          </w:p>
        </w:tc>
        <w:tc>
          <w:tcPr>
            <w:tcW w:w="4603" w:type="dxa"/>
            <w:shd w:val="clear" w:color="auto" w:fill="auto"/>
            <w:vAlign w:val="center"/>
          </w:tcPr>
          <w:p w14:paraId="7F20791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广东链家房地产经纪有限公司</w:t>
            </w:r>
          </w:p>
        </w:tc>
        <w:tc>
          <w:tcPr>
            <w:tcW w:w="1276" w:type="dxa"/>
            <w:shd w:val="clear" w:color="auto" w:fill="auto"/>
            <w:vAlign w:val="center"/>
          </w:tcPr>
          <w:p w14:paraId="02A7ECF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129.3</w:t>
            </w:r>
          </w:p>
        </w:tc>
        <w:tc>
          <w:tcPr>
            <w:tcW w:w="1275" w:type="dxa"/>
            <w:shd w:val="clear" w:color="auto" w:fill="auto"/>
            <w:vAlign w:val="center"/>
          </w:tcPr>
          <w:p w14:paraId="23CF23C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75D7FC3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24</w:t>
            </w:r>
          </w:p>
        </w:tc>
      </w:tr>
      <w:tr w14:paraId="53CB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14916C21">
            <w:pPr>
              <w:jc w:val="center"/>
              <w:rPr>
                <w:rFonts w:ascii="Times New Roman" w:hAnsi="Times New Roman"/>
                <w:color w:val="000000"/>
                <w:sz w:val="24"/>
              </w:rPr>
            </w:pPr>
            <w:r>
              <w:rPr>
                <w:rFonts w:ascii="Times New Roman" w:hAnsi="Times New Roman"/>
                <w:color w:val="000000"/>
                <w:sz w:val="24"/>
              </w:rPr>
              <w:t>2</w:t>
            </w:r>
          </w:p>
        </w:tc>
        <w:tc>
          <w:tcPr>
            <w:tcW w:w="4603" w:type="dxa"/>
            <w:shd w:val="clear" w:color="auto" w:fill="auto"/>
            <w:vAlign w:val="center"/>
          </w:tcPr>
          <w:p w14:paraId="0394CC1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广东合富房地产置业有限公司</w:t>
            </w:r>
          </w:p>
        </w:tc>
        <w:tc>
          <w:tcPr>
            <w:tcW w:w="1276" w:type="dxa"/>
            <w:shd w:val="clear" w:color="auto" w:fill="auto"/>
            <w:vAlign w:val="center"/>
          </w:tcPr>
          <w:p w14:paraId="76D96BD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129.2</w:t>
            </w:r>
          </w:p>
        </w:tc>
        <w:tc>
          <w:tcPr>
            <w:tcW w:w="1275" w:type="dxa"/>
            <w:shd w:val="clear" w:color="auto" w:fill="auto"/>
            <w:vAlign w:val="center"/>
          </w:tcPr>
          <w:p w14:paraId="5CBFC7B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1C355B7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25</w:t>
            </w:r>
          </w:p>
        </w:tc>
      </w:tr>
      <w:tr w14:paraId="008F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0F96AA25">
            <w:pPr>
              <w:jc w:val="center"/>
              <w:rPr>
                <w:rFonts w:ascii="Times New Roman" w:hAnsi="Times New Roman"/>
                <w:color w:val="000000"/>
                <w:sz w:val="24"/>
              </w:rPr>
            </w:pPr>
            <w:r>
              <w:rPr>
                <w:rFonts w:ascii="Times New Roman" w:hAnsi="Times New Roman"/>
                <w:color w:val="000000"/>
                <w:sz w:val="24"/>
              </w:rPr>
              <w:t>3</w:t>
            </w:r>
          </w:p>
        </w:tc>
        <w:tc>
          <w:tcPr>
            <w:tcW w:w="4603" w:type="dxa"/>
            <w:shd w:val="clear" w:color="auto" w:fill="auto"/>
            <w:vAlign w:val="center"/>
          </w:tcPr>
          <w:p w14:paraId="2EF3D54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广东中原地产代理有限公司</w:t>
            </w:r>
          </w:p>
        </w:tc>
        <w:tc>
          <w:tcPr>
            <w:tcW w:w="1276" w:type="dxa"/>
            <w:shd w:val="clear" w:color="auto" w:fill="auto"/>
            <w:vAlign w:val="center"/>
          </w:tcPr>
          <w:p w14:paraId="7DF701D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124.1</w:t>
            </w:r>
          </w:p>
        </w:tc>
        <w:tc>
          <w:tcPr>
            <w:tcW w:w="1275" w:type="dxa"/>
            <w:shd w:val="clear" w:color="auto" w:fill="auto"/>
            <w:vAlign w:val="center"/>
          </w:tcPr>
          <w:p w14:paraId="48D31C8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5BCD528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w:t>
            </w:r>
          </w:p>
        </w:tc>
      </w:tr>
      <w:tr w14:paraId="1FB7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0CF04341">
            <w:pPr>
              <w:jc w:val="center"/>
              <w:rPr>
                <w:rFonts w:ascii="Times New Roman" w:hAnsi="Times New Roman"/>
                <w:color w:val="000000"/>
                <w:sz w:val="24"/>
              </w:rPr>
            </w:pPr>
            <w:r>
              <w:rPr>
                <w:rFonts w:ascii="Times New Roman" w:hAnsi="Times New Roman"/>
                <w:color w:val="000000"/>
                <w:sz w:val="24"/>
              </w:rPr>
              <w:t>4</w:t>
            </w:r>
          </w:p>
        </w:tc>
        <w:tc>
          <w:tcPr>
            <w:tcW w:w="4603" w:type="dxa"/>
            <w:shd w:val="clear" w:color="auto" w:fill="auto"/>
            <w:vAlign w:val="center"/>
          </w:tcPr>
          <w:p w14:paraId="12F9B03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广州市乐有家房产经纪有限公司</w:t>
            </w:r>
          </w:p>
        </w:tc>
        <w:tc>
          <w:tcPr>
            <w:tcW w:w="1276" w:type="dxa"/>
            <w:shd w:val="clear" w:color="auto" w:fill="auto"/>
            <w:vAlign w:val="center"/>
          </w:tcPr>
          <w:p w14:paraId="4E52E98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115.9</w:t>
            </w:r>
          </w:p>
        </w:tc>
        <w:tc>
          <w:tcPr>
            <w:tcW w:w="1275" w:type="dxa"/>
            <w:shd w:val="clear" w:color="auto" w:fill="auto"/>
            <w:vAlign w:val="center"/>
          </w:tcPr>
          <w:p w14:paraId="45EF1A2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36E6588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w:t>
            </w:r>
          </w:p>
        </w:tc>
      </w:tr>
      <w:tr w14:paraId="64F2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2E00129B">
            <w:pPr>
              <w:jc w:val="center"/>
              <w:rPr>
                <w:rFonts w:ascii="Times New Roman" w:hAnsi="Times New Roman"/>
                <w:color w:val="000000"/>
                <w:sz w:val="24"/>
              </w:rPr>
            </w:pPr>
            <w:r>
              <w:rPr>
                <w:rFonts w:ascii="Times New Roman" w:hAnsi="Times New Roman"/>
                <w:color w:val="000000"/>
                <w:sz w:val="24"/>
              </w:rPr>
              <w:t>5</w:t>
            </w:r>
          </w:p>
        </w:tc>
        <w:tc>
          <w:tcPr>
            <w:tcW w:w="4603" w:type="dxa"/>
            <w:shd w:val="clear" w:color="auto" w:fill="auto"/>
            <w:vAlign w:val="center"/>
          </w:tcPr>
          <w:p w14:paraId="51C0332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广州市置家房地产代理有限公司</w:t>
            </w:r>
          </w:p>
        </w:tc>
        <w:tc>
          <w:tcPr>
            <w:tcW w:w="1276" w:type="dxa"/>
            <w:shd w:val="clear" w:color="auto" w:fill="auto"/>
            <w:vAlign w:val="center"/>
          </w:tcPr>
          <w:p w14:paraId="502BAF9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110.0</w:t>
            </w:r>
          </w:p>
        </w:tc>
        <w:tc>
          <w:tcPr>
            <w:tcW w:w="1275" w:type="dxa"/>
            <w:shd w:val="clear" w:color="auto" w:fill="auto"/>
            <w:vAlign w:val="center"/>
          </w:tcPr>
          <w:p w14:paraId="12414AD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771F530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16</w:t>
            </w:r>
          </w:p>
        </w:tc>
      </w:tr>
      <w:tr w14:paraId="454D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34F48903">
            <w:pPr>
              <w:jc w:val="center"/>
              <w:rPr>
                <w:rFonts w:ascii="Times New Roman" w:hAnsi="Times New Roman"/>
                <w:color w:val="000000"/>
                <w:sz w:val="24"/>
              </w:rPr>
            </w:pPr>
            <w:r>
              <w:rPr>
                <w:rFonts w:ascii="Times New Roman" w:hAnsi="Times New Roman"/>
                <w:color w:val="000000"/>
                <w:sz w:val="24"/>
              </w:rPr>
              <w:t>6</w:t>
            </w:r>
          </w:p>
        </w:tc>
        <w:tc>
          <w:tcPr>
            <w:tcW w:w="4603" w:type="dxa"/>
            <w:shd w:val="clear" w:color="auto" w:fill="auto"/>
            <w:vAlign w:val="center"/>
          </w:tcPr>
          <w:p w14:paraId="59A6454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房六六置业（广州）有限公司</w:t>
            </w:r>
          </w:p>
        </w:tc>
        <w:tc>
          <w:tcPr>
            <w:tcW w:w="1276" w:type="dxa"/>
            <w:shd w:val="clear" w:color="auto" w:fill="auto"/>
            <w:vAlign w:val="center"/>
          </w:tcPr>
          <w:p w14:paraId="11223FA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103.3</w:t>
            </w:r>
          </w:p>
        </w:tc>
        <w:tc>
          <w:tcPr>
            <w:tcW w:w="1275" w:type="dxa"/>
            <w:shd w:val="clear" w:color="auto" w:fill="auto"/>
            <w:vAlign w:val="center"/>
          </w:tcPr>
          <w:p w14:paraId="5F23317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6BC10E2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5</w:t>
            </w:r>
          </w:p>
        </w:tc>
      </w:tr>
      <w:tr w14:paraId="0BCF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1B64F51C">
            <w:pPr>
              <w:jc w:val="center"/>
              <w:rPr>
                <w:rFonts w:ascii="Times New Roman" w:hAnsi="Times New Roman"/>
                <w:color w:val="000000"/>
                <w:sz w:val="24"/>
              </w:rPr>
            </w:pPr>
            <w:r>
              <w:rPr>
                <w:rFonts w:ascii="Times New Roman" w:hAnsi="Times New Roman"/>
                <w:color w:val="000000"/>
                <w:sz w:val="24"/>
              </w:rPr>
              <w:t>7</w:t>
            </w:r>
          </w:p>
        </w:tc>
        <w:tc>
          <w:tcPr>
            <w:tcW w:w="4603" w:type="dxa"/>
            <w:shd w:val="clear" w:color="auto" w:fill="auto"/>
            <w:vAlign w:val="center"/>
          </w:tcPr>
          <w:p w14:paraId="2979FF0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广州越秀兴业地产代理有限公司</w:t>
            </w:r>
          </w:p>
        </w:tc>
        <w:tc>
          <w:tcPr>
            <w:tcW w:w="1276" w:type="dxa"/>
            <w:shd w:val="clear" w:color="auto" w:fill="auto"/>
            <w:vAlign w:val="center"/>
          </w:tcPr>
          <w:p w14:paraId="479FC7B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102.4</w:t>
            </w:r>
          </w:p>
        </w:tc>
        <w:tc>
          <w:tcPr>
            <w:tcW w:w="1275" w:type="dxa"/>
            <w:shd w:val="clear" w:color="auto" w:fill="auto"/>
            <w:vAlign w:val="center"/>
          </w:tcPr>
          <w:p w14:paraId="286B0C1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7F74291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31</w:t>
            </w:r>
          </w:p>
        </w:tc>
      </w:tr>
      <w:tr w14:paraId="2BFB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5A202371">
            <w:pPr>
              <w:jc w:val="center"/>
              <w:rPr>
                <w:rFonts w:ascii="Times New Roman" w:hAnsi="Times New Roman"/>
                <w:color w:val="000000"/>
                <w:sz w:val="24"/>
              </w:rPr>
            </w:pPr>
            <w:r>
              <w:rPr>
                <w:rFonts w:ascii="Times New Roman" w:hAnsi="Times New Roman"/>
                <w:color w:val="000000"/>
                <w:sz w:val="24"/>
              </w:rPr>
              <w:t>8</w:t>
            </w:r>
          </w:p>
        </w:tc>
        <w:tc>
          <w:tcPr>
            <w:tcW w:w="4603" w:type="dxa"/>
            <w:shd w:val="clear" w:color="auto" w:fill="auto"/>
            <w:vAlign w:val="center"/>
          </w:tcPr>
          <w:p w14:paraId="7E68B55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广州市宜居房地产代理有限公司</w:t>
            </w:r>
          </w:p>
        </w:tc>
        <w:tc>
          <w:tcPr>
            <w:tcW w:w="1276" w:type="dxa"/>
            <w:shd w:val="clear" w:color="auto" w:fill="auto"/>
            <w:vAlign w:val="center"/>
          </w:tcPr>
          <w:p w14:paraId="2A26786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102.2</w:t>
            </w:r>
          </w:p>
        </w:tc>
        <w:tc>
          <w:tcPr>
            <w:tcW w:w="1275" w:type="dxa"/>
            <w:shd w:val="clear" w:color="auto" w:fill="auto"/>
            <w:vAlign w:val="center"/>
          </w:tcPr>
          <w:p w14:paraId="461679F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40FCDCA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21</w:t>
            </w:r>
          </w:p>
        </w:tc>
      </w:tr>
      <w:tr w14:paraId="466F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220D8E47">
            <w:pPr>
              <w:jc w:val="center"/>
              <w:rPr>
                <w:rFonts w:ascii="Times New Roman" w:hAnsi="Times New Roman"/>
                <w:color w:val="000000"/>
                <w:sz w:val="24"/>
              </w:rPr>
            </w:pPr>
            <w:r>
              <w:rPr>
                <w:rFonts w:ascii="Times New Roman" w:hAnsi="Times New Roman"/>
                <w:color w:val="000000"/>
                <w:sz w:val="24"/>
              </w:rPr>
              <w:t>9</w:t>
            </w:r>
          </w:p>
        </w:tc>
        <w:tc>
          <w:tcPr>
            <w:tcW w:w="4603" w:type="dxa"/>
            <w:shd w:val="clear" w:color="auto" w:fill="auto"/>
            <w:vAlign w:val="center"/>
          </w:tcPr>
          <w:p w14:paraId="432E34C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广州信仁房地产销售代理有限公司</w:t>
            </w:r>
          </w:p>
        </w:tc>
        <w:tc>
          <w:tcPr>
            <w:tcW w:w="1276" w:type="dxa"/>
            <w:shd w:val="clear" w:color="auto" w:fill="auto"/>
            <w:vAlign w:val="center"/>
          </w:tcPr>
          <w:p w14:paraId="5FAF54C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102.2</w:t>
            </w:r>
          </w:p>
        </w:tc>
        <w:tc>
          <w:tcPr>
            <w:tcW w:w="1275" w:type="dxa"/>
            <w:shd w:val="clear" w:color="auto" w:fill="auto"/>
            <w:vAlign w:val="center"/>
          </w:tcPr>
          <w:p w14:paraId="163545B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51FE95D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w:t>
            </w:r>
          </w:p>
        </w:tc>
      </w:tr>
      <w:tr w14:paraId="5CD1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04AB5809">
            <w:pPr>
              <w:jc w:val="center"/>
              <w:rPr>
                <w:rFonts w:ascii="Times New Roman" w:hAnsi="Times New Roman"/>
                <w:color w:val="000000"/>
                <w:sz w:val="24"/>
              </w:rPr>
            </w:pPr>
            <w:r>
              <w:rPr>
                <w:rFonts w:ascii="Times New Roman" w:hAnsi="Times New Roman"/>
                <w:color w:val="000000"/>
                <w:sz w:val="24"/>
              </w:rPr>
              <w:t>10</w:t>
            </w:r>
          </w:p>
        </w:tc>
        <w:tc>
          <w:tcPr>
            <w:tcW w:w="4603" w:type="dxa"/>
            <w:shd w:val="clear" w:color="auto" w:fill="auto"/>
            <w:vAlign w:val="center"/>
          </w:tcPr>
          <w:p w14:paraId="565C7A4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广州礼德房地产销售代理有限公司</w:t>
            </w:r>
          </w:p>
        </w:tc>
        <w:tc>
          <w:tcPr>
            <w:tcW w:w="1276" w:type="dxa"/>
            <w:shd w:val="clear" w:color="auto" w:fill="auto"/>
            <w:vAlign w:val="center"/>
          </w:tcPr>
          <w:p w14:paraId="444307A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101.6</w:t>
            </w:r>
          </w:p>
        </w:tc>
        <w:tc>
          <w:tcPr>
            <w:tcW w:w="1275" w:type="dxa"/>
            <w:shd w:val="clear" w:color="auto" w:fill="auto"/>
            <w:vAlign w:val="center"/>
          </w:tcPr>
          <w:p w14:paraId="41F11F6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10D6A58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4</w:t>
            </w:r>
          </w:p>
        </w:tc>
      </w:tr>
      <w:tr w14:paraId="69D8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56466F77">
            <w:pPr>
              <w:jc w:val="center"/>
              <w:rPr>
                <w:rFonts w:ascii="Times New Roman" w:hAnsi="Times New Roman"/>
                <w:color w:val="000000"/>
                <w:sz w:val="24"/>
              </w:rPr>
            </w:pPr>
            <w:r>
              <w:rPr>
                <w:rFonts w:ascii="Times New Roman" w:hAnsi="Times New Roman"/>
                <w:color w:val="000000"/>
                <w:sz w:val="24"/>
              </w:rPr>
              <w:t>11</w:t>
            </w:r>
          </w:p>
        </w:tc>
        <w:tc>
          <w:tcPr>
            <w:tcW w:w="4603" w:type="dxa"/>
            <w:shd w:val="clear" w:color="auto" w:fill="auto"/>
            <w:vAlign w:val="center"/>
          </w:tcPr>
          <w:p w14:paraId="2C4CEB7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广州信礼房地产销售代理有限公司</w:t>
            </w:r>
          </w:p>
        </w:tc>
        <w:tc>
          <w:tcPr>
            <w:tcW w:w="1276" w:type="dxa"/>
            <w:shd w:val="clear" w:color="auto" w:fill="auto"/>
            <w:vAlign w:val="center"/>
          </w:tcPr>
          <w:p w14:paraId="411C676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101.0</w:t>
            </w:r>
          </w:p>
        </w:tc>
        <w:tc>
          <w:tcPr>
            <w:tcW w:w="1275" w:type="dxa"/>
            <w:shd w:val="clear" w:color="auto" w:fill="auto"/>
            <w:vAlign w:val="center"/>
          </w:tcPr>
          <w:p w14:paraId="319AF5A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4CAA2E3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6</w:t>
            </w:r>
          </w:p>
        </w:tc>
      </w:tr>
      <w:tr w14:paraId="649A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67973F19">
            <w:pPr>
              <w:jc w:val="center"/>
              <w:rPr>
                <w:rFonts w:ascii="Times New Roman" w:hAnsi="Times New Roman"/>
                <w:color w:val="000000"/>
                <w:sz w:val="24"/>
              </w:rPr>
            </w:pPr>
            <w:r>
              <w:rPr>
                <w:rFonts w:ascii="Times New Roman" w:hAnsi="Times New Roman"/>
                <w:color w:val="000000"/>
                <w:sz w:val="24"/>
              </w:rPr>
              <w:t>12</w:t>
            </w:r>
          </w:p>
        </w:tc>
        <w:tc>
          <w:tcPr>
            <w:tcW w:w="4603" w:type="dxa"/>
            <w:shd w:val="clear" w:color="auto" w:fill="auto"/>
            <w:vAlign w:val="center"/>
          </w:tcPr>
          <w:p w14:paraId="376945B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广州市禧汇房地产代理有限公司</w:t>
            </w:r>
          </w:p>
        </w:tc>
        <w:tc>
          <w:tcPr>
            <w:tcW w:w="1276" w:type="dxa"/>
            <w:shd w:val="clear" w:color="auto" w:fill="auto"/>
            <w:vAlign w:val="center"/>
          </w:tcPr>
          <w:p w14:paraId="5F302FA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100.9</w:t>
            </w:r>
          </w:p>
        </w:tc>
        <w:tc>
          <w:tcPr>
            <w:tcW w:w="1275" w:type="dxa"/>
            <w:shd w:val="clear" w:color="auto" w:fill="auto"/>
            <w:vAlign w:val="center"/>
          </w:tcPr>
          <w:p w14:paraId="60D3E49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478940F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w:t>
            </w:r>
          </w:p>
        </w:tc>
      </w:tr>
      <w:tr w14:paraId="56D0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6C56BAE5">
            <w:pPr>
              <w:jc w:val="center"/>
              <w:rPr>
                <w:rFonts w:ascii="Times New Roman" w:hAnsi="Times New Roman"/>
                <w:color w:val="000000"/>
                <w:sz w:val="24"/>
              </w:rPr>
            </w:pPr>
            <w:r>
              <w:rPr>
                <w:rFonts w:ascii="Times New Roman" w:hAnsi="Times New Roman"/>
                <w:color w:val="000000"/>
                <w:sz w:val="24"/>
              </w:rPr>
              <w:t>13</w:t>
            </w:r>
          </w:p>
        </w:tc>
        <w:tc>
          <w:tcPr>
            <w:tcW w:w="4603" w:type="dxa"/>
            <w:shd w:val="clear" w:color="auto" w:fill="auto"/>
            <w:vAlign w:val="center"/>
          </w:tcPr>
          <w:p w14:paraId="6791D1A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广州瀚信置业有限公司</w:t>
            </w:r>
          </w:p>
        </w:tc>
        <w:tc>
          <w:tcPr>
            <w:tcW w:w="1276" w:type="dxa"/>
            <w:shd w:val="clear" w:color="auto" w:fill="auto"/>
            <w:vAlign w:val="center"/>
          </w:tcPr>
          <w:p w14:paraId="49FCEA9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99.7</w:t>
            </w:r>
          </w:p>
        </w:tc>
        <w:tc>
          <w:tcPr>
            <w:tcW w:w="1275" w:type="dxa"/>
            <w:shd w:val="clear" w:color="auto" w:fill="auto"/>
            <w:vAlign w:val="center"/>
          </w:tcPr>
          <w:p w14:paraId="6A2251E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6FA6F76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14:paraId="0DB9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6B0696F1">
            <w:pPr>
              <w:jc w:val="center"/>
              <w:rPr>
                <w:rFonts w:ascii="Times New Roman" w:hAnsi="Times New Roman"/>
                <w:color w:val="000000"/>
                <w:sz w:val="24"/>
              </w:rPr>
            </w:pPr>
            <w:r>
              <w:rPr>
                <w:rFonts w:ascii="Times New Roman" w:hAnsi="Times New Roman"/>
                <w:color w:val="000000"/>
                <w:sz w:val="24"/>
              </w:rPr>
              <w:t>14</w:t>
            </w:r>
          </w:p>
        </w:tc>
        <w:tc>
          <w:tcPr>
            <w:tcW w:w="4603" w:type="dxa"/>
            <w:shd w:val="clear" w:color="auto" w:fill="auto"/>
            <w:vAlign w:val="center"/>
          </w:tcPr>
          <w:p w14:paraId="59BE468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广州明昇房地产销售代理有限公司</w:t>
            </w:r>
          </w:p>
        </w:tc>
        <w:tc>
          <w:tcPr>
            <w:tcW w:w="1276" w:type="dxa"/>
            <w:shd w:val="clear" w:color="auto" w:fill="auto"/>
            <w:vAlign w:val="center"/>
          </w:tcPr>
          <w:p w14:paraId="2D89619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99.3</w:t>
            </w:r>
          </w:p>
        </w:tc>
        <w:tc>
          <w:tcPr>
            <w:tcW w:w="1275" w:type="dxa"/>
            <w:shd w:val="clear" w:color="auto" w:fill="auto"/>
            <w:vAlign w:val="center"/>
          </w:tcPr>
          <w:p w14:paraId="0E6DC38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312C2B4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8</w:t>
            </w:r>
          </w:p>
        </w:tc>
      </w:tr>
      <w:tr w14:paraId="5693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57ED39B7">
            <w:pPr>
              <w:jc w:val="center"/>
              <w:rPr>
                <w:rFonts w:ascii="Times New Roman" w:hAnsi="Times New Roman"/>
                <w:color w:val="000000"/>
                <w:sz w:val="24"/>
              </w:rPr>
            </w:pPr>
            <w:r>
              <w:rPr>
                <w:rFonts w:ascii="Times New Roman" w:hAnsi="Times New Roman"/>
                <w:color w:val="000000"/>
                <w:sz w:val="24"/>
              </w:rPr>
              <w:t>15</w:t>
            </w:r>
          </w:p>
        </w:tc>
        <w:tc>
          <w:tcPr>
            <w:tcW w:w="4603" w:type="dxa"/>
            <w:shd w:val="clear" w:color="auto" w:fill="auto"/>
            <w:vAlign w:val="center"/>
          </w:tcPr>
          <w:p w14:paraId="616F946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广东德诚行地产集团有限公司</w:t>
            </w:r>
          </w:p>
        </w:tc>
        <w:tc>
          <w:tcPr>
            <w:tcW w:w="1276" w:type="dxa"/>
            <w:shd w:val="clear" w:color="auto" w:fill="auto"/>
            <w:vAlign w:val="center"/>
          </w:tcPr>
          <w:p w14:paraId="354D0FF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99.0</w:t>
            </w:r>
          </w:p>
        </w:tc>
        <w:tc>
          <w:tcPr>
            <w:tcW w:w="1275" w:type="dxa"/>
            <w:shd w:val="clear" w:color="auto" w:fill="auto"/>
            <w:vAlign w:val="center"/>
          </w:tcPr>
          <w:p w14:paraId="4715D45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6BC616D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19</w:t>
            </w:r>
          </w:p>
        </w:tc>
      </w:tr>
      <w:tr w14:paraId="786C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2A137887">
            <w:pPr>
              <w:jc w:val="center"/>
              <w:rPr>
                <w:rFonts w:ascii="Times New Roman" w:hAnsi="Times New Roman"/>
                <w:color w:val="000000"/>
                <w:sz w:val="24"/>
              </w:rPr>
            </w:pPr>
            <w:r>
              <w:rPr>
                <w:rFonts w:ascii="Times New Roman" w:hAnsi="Times New Roman"/>
                <w:color w:val="000000"/>
                <w:sz w:val="24"/>
              </w:rPr>
              <w:t>16</w:t>
            </w:r>
          </w:p>
        </w:tc>
        <w:tc>
          <w:tcPr>
            <w:tcW w:w="4603" w:type="dxa"/>
            <w:shd w:val="clear" w:color="auto" w:fill="auto"/>
            <w:vAlign w:val="center"/>
          </w:tcPr>
          <w:p w14:paraId="2A0220E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广州连家地产代理有限公司</w:t>
            </w:r>
          </w:p>
        </w:tc>
        <w:tc>
          <w:tcPr>
            <w:tcW w:w="1276" w:type="dxa"/>
            <w:shd w:val="clear" w:color="auto" w:fill="auto"/>
            <w:vAlign w:val="center"/>
          </w:tcPr>
          <w:p w14:paraId="36ECA45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98.2</w:t>
            </w:r>
          </w:p>
        </w:tc>
        <w:tc>
          <w:tcPr>
            <w:tcW w:w="1275" w:type="dxa"/>
            <w:shd w:val="clear" w:color="auto" w:fill="auto"/>
            <w:vAlign w:val="center"/>
          </w:tcPr>
          <w:p w14:paraId="05FF61B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367EA6D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13</w:t>
            </w:r>
          </w:p>
        </w:tc>
      </w:tr>
      <w:tr w14:paraId="2316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AFA99CA">
            <w:pPr>
              <w:jc w:val="center"/>
              <w:rPr>
                <w:rFonts w:ascii="Times New Roman" w:hAnsi="Times New Roman"/>
                <w:color w:val="000000"/>
                <w:sz w:val="24"/>
              </w:rPr>
            </w:pPr>
            <w:r>
              <w:rPr>
                <w:rFonts w:ascii="Times New Roman" w:hAnsi="Times New Roman"/>
                <w:color w:val="000000"/>
                <w:sz w:val="24"/>
              </w:rPr>
              <w:t>17</w:t>
            </w:r>
          </w:p>
        </w:tc>
        <w:tc>
          <w:tcPr>
            <w:tcW w:w="4603" w:type="dxa"/>
            <w:shd w:val="clear" w:color="auto" w:fill="auto"/>
            <w:vAlign w:val="center"/>
          </w:tcPr>
          <w:p w14:paraId="40D57BC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广州市纵博房地产代理有限公司</w:t>
            </w:r>
          </w:p>
        </w:tc>
        <w:tc>
          <w:tcPr>
            <w:tcW w:w="1276" w:type="dxa"/>
            <w:shd w:val="clear" w:color="auto" w:fill="auto"/>
            <w:vAlign w:val="center"/>
          </w:tcPr>
          <w:p w14:paraId="3D63981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98.0</w:t>
            </w:r>
          </w:p>
        </w:tc>
        <w:tc>
          <w:tcPr>
            <w:tcW w:w="1275" w:type="dxa"/>
            <w:shd w:val="clear" w:color="auto" w:fill="auto"/>
            <w:vAlign w:val="center"/>
          </w:tcPr>
          <w:p w14:paraId="5375F51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1544A42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15</w:t>
            </w:r>
          </w:p>
        </w:tc>
      </w:tr>
      <w:tr w14:paraId="0DF1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04E03237">
            <w:pPr>
              <w:jc w:val="center"/>
              <w:rPr>
                <w:rFonts w:ascii="Times New Roman" w:hAnsi="Times New Roman"/>
                <w:color w:val="000000"/>
                <w:sz w:val="24"/>
              </w:rPr>
            </w:pPr>
            <w:r>
              <w:rPr>
                <w:rFonts w:ascii="Times New Roman" w:hAnsi="Times New Roman"/>
                <w:color w:val="000000"/>
                <w:sz w:val="24"/>
              </w:rPr>
              <w:t>18</w:t>
            </w:r>
          </w:p>
        </w:tc>
        <w:tc>
          <w:tcPr>
            <w:tcW w:w="4603" w:type="dxa"/>
            <w:shd w:val="clear" w:color="auto" w:fill="auto"/>
            <w:vAlign w:val="center"/>
          </w:tcPr>
          <w:p w14:paraId="0D49E98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广州亿诚房地产咨询有限公司</w:t>
            </w:r>
          </w:p>
        </w:tc>
        <w:tc>
          <w:tcPr>
            <w:tcW w:w="1276" w:type="dxa"/>
            <w:shd w:val="clear" w:color="auto" w:fill="auto"/>
            <w:vAlign w:val="center"/>
          </w:tcPr>
          <w:p w14:paraId="3DD78E5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96.3</w:t>
            </w:r>
          </w:p>
        </w:tc>
        <w:tc>
          <w:tcPr>
            <w:tcW w:w="1275" w:type="dxa"/>
            <w:shd w:val="clear" w:color="auto" w:fill="auto"/>
            <w:vAlign w:val="center"/>
          </w:tcPr>
          <w:p w14:paraId="3DF3066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3B4AB27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w:t>
            </w:r>
          </w:p>
        </w:tc>
      </w:tr>
      <w:tr w14:paraId="19AA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66960745">
            <w:pPr>
              <w:jc w:val="center"/>
              <w:rPr>
                <w:rFonts w:ascii="Times New Roman" w:hAnsi="Times New Roman"/>
                <w:color w:val="000000"/>
                <w:sz w:val="24"/>
              </w:rPr>
            </w:pPr>
            <w:r>
              <w:rPr>
                <w:rFonts w:ascii="Times New Roman" w:hAnsi="Times New Roman"/>
                <w:color w:val="000000"/>
                <w:sz w:val="24"/>
              </w:rPr>
              <w:t>19</w:t>
            </w:r>
          </w:p>
        </w:tc>
        <w:tc>
          <w:tcPr>
            <w:tcW w:w="4603" w:type="dxa"/>
            <w:shd w:val="clear" w:color="auto" w:fill="auto"/>
            <w:vAlign w:val="center"/>
          </w:tcPr>
          <w:p w14:paraId="62756CC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广州市中营房地产代理有限公司</w:t>
            </w:r>
          </w:p>
        </w:tc>
        <w:tc>
          <w:tcPr>
            <w:tcW w:w="1276" w:type="dxa"/>
            <w:shd w:val="clear" w:color="auto" w:fill="auto"/>
            <w:vAlign w:val="center"/>
          </w:tcPr>
          <w:p w14:paraId="116C1C7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95.5</w:t>
            </w:r>
          </w:p>
        </w:tc>
        <w:tc>
          <w:tcPr>
            <w:tcW w:w="1275" w:type="dxa"/>
            <w:shd w:val="clear" w:color="auto" w:fill="auto"/>
            <w:vAlign w:val="center"/>
          </w:tcPr>
          <w:p w14:paraId="241C272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6ECCAB4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14</w:t>
            </w:r>
          </w:p>
        </w:tc>
      </w:tr>
      <w:tr w14:paraId="137D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556D6F9A">
            <w:pPr>
              <w:jc w:val="center"/>
              <w:rPr>
                <w:rFonts w:ascii="Times New Roman" w:hAnsi="Times New Roman"/>
                <w:color w:val="000000"/>
                <w:sz w:val="24"/>
              </w:rPr>
            </w:pPr>
            <w:r>
              <w:rPr>
                <w:rFonts w:ascii="Times New Roman" w:hAnsi="Times New Roman"/>
                <w:color w:val="000000"/>
                <w:sz w:val="24"/>
              </w:rPr>
              <w:t>20</w:t>
            </w:r>
          </w:p>
        </w:tc>
        <w:tc>
          <w:tcPr>
            <w:tcW w:w="4603" w:type="dxa"/>
            <w:shd w:val="clear" w:color="auto" w:fill="auto"/>
            <w:vAlign w:val="center"/>
          </w:tcPr>
          <w:p w14:paraId="782D6C6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广州市南湖房地产销售代理有限公司</w:t>
            </w:r>
          </w:p>
        </w:tc>
        <w:tc>
          <w:tcPr>
            <w:tcW w:w="1276" w:type="dxa"/>
            <w:shd w:val="clear" w:color="auto" w:fill="auto"/>
            <w:vAlign w:val="center"/>
          </w:tcPr>
          <w:p w14:paraId="2A41E4E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95.4</w:t>
            </w:r>
          </w:p>
        </w:tc>
        <w:tc>
          <w:tcPr>
            <w:tcW w:w="1275" w:type="dxa"/>
            <w:shd w:val="clear" w:color="auto" w:fill="auto"/>
            <w:vAlign w:val="center"/>
          </w:tcPr>
          <w:p w14:paraId="7712374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276" w:type="dxa"/>
            <w:shd w:val="clear" w:color="auto" w:fill="auto"/>
            <w:vAlign w:val="center"/>
          </w:tcPr>
          <w:p w14:paraId="4C1E7E7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14</w:t>
            </w:r>
          </w:p>
        </w:tc>
      </w:tr>
      <w:bookmarkEnd w:id="29"/>
      <w:tr w14:paraId="6064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9" w:type="dxa"/>
            <w:gridSpan w:val="5"/>
            <w:shd w:val="clear" w:color="auto" w:fill="auto"/>
            <w:vAlign w:val="center"/>
          </w:tcPr>
          <w:p w14:paraId="42546213">
            <w:pPr>
              <w:jc w:val="center"/>
              <w:rPr>
                <w:rFonts w:ascii="Times New Roman" w:hAnsi="Times New Roman" w:eastAsia="仿宋"/>
                <w:b/>
                <w:color w:val="000000" w:themeColor="text1"/>
                <w:sz w:val="22"/>
                <w:szCs w:val="23"/>
                <w14:textFill>
                  <w14:solidFill>
                    <w14:schemeClr w14:val="tx1"/>
                  </w14:solidFill>
                </w14:textFill>
              </w:rPr>
            </w:pPr>
            <w:r>
              <w:rPr>
                <w:rFonts w:hint="eastAsia" w:ascii="Times New Roman" w:hAnsi="Times New Roman" w:eastAsia="仿宋"/>
                <w:b/>
                <w:color w:val="000000" w:themeColor="text1"/>
                <w:sz w:val="24"/>
                <w:szCs w:val="23"/>
                <w14:textFill>
                  <w14:solidFill>
                    <w14:schemeClr w14:val="tx1"/>
                  </w14:solidFill>
                </w14:textFill>
              </w:rPr>
              <w:t>“</w:t>
            </w:r>
            <w:r>
              <w:rPr>
                <w:rFonts w:ascii="Times New Roman" w:hAnsi="Times New Roman" w:eastAsia="仿宋"/>
                <w:b/>
                <w:color w:val="000000" w:themeColor="text1"/>
                <w:sz w:val="24"/>
                <w:szCs w:val="23"/>
                <w14:textFill>
                  <w14:solidFill>
                    <w14:schemeClr w14:val="tx1"/>
                  </w14:solidFill>
                </w14:textFill>
              </w:rPr>
              <w:t>良好</w:t>
            </w:r>
            <w:bookmarkStart w:id="30" w:name="OLE_LINK38"/>
            <w:bookmarkStart w:id="31" w:name="OLE_LINK39"/>
            <w:r>
              <w:rPr>
                <w:rFonts w:hint="eastAsia" w:ascii="Times New Roman" w:hAnsi="Times New Roman" w:eastAsia="仿宋"/>
                <w:b/>
                <w:color w:val="000000" w:themeColor="text1"/>
                <w:sz w:val="24"/>
                <w:szCs w:val="23"/>
                <w14:textFill>
                  <w14:solidFill>
                    <w14:schemeClr w14:val="tx1"/>
                  </w14:solidFill>
                </w14:textFill>
              </w:rPr>
              <w:t>”</w:t>
            </w:r>
            <w:bookmarkEnd w:id="30"/>
            <w:bookmarkEnd w:id="31"/>
            <w:r>
              <w:rPr>
                <w:rFonts w:ascii="Times New Roman" w:hAnsi="Times New Roman" w:eastAsia="仿宋"/>
                <w:b/>
                <w:color w:val="000000" w:themeColor="text1"/>
                <w:sz w:val="24"/>
                <w:szCs w:val="23"/>
                <w14:textFill>
                  <w14:solidFill>
                    <w14:schemeClr w14:val="tx1"/>
                  </w14:solidFill>
                </w14:textFill>
              </w:rPr>
              <w:t>等级中介机构名单（共17家）</w:t>
            </w:r>
          </w:p>
        </w:tc>
      </w:tr>
      <w:tr w14:paraId="2AE4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9DD9B32">
            <w:pPr>
              <w:jc w:val="center"/>
              <w:rPr>
                <w:rFonts w:ascii="Times New Roman" w:hAnsi="Times New Roman"/>
                <w:color w:val="000000"/>
                <w:sz w:val="24"/>
              </w:rPr>
            </w:pPr>
            <w:bookmarkStart w:id="32" w:name="_Hlk190865696"/>
            <w:r>
              <w:rPr>
                <w:rFonts w:ascii="Times New Roman" w:hAnsi="Times New Roman"/>
                <w:color w:val="000000"/>
                <w:sz w:val="24"/>
              </w:rPr>
              <w:t>1</w:t>
            </w:r>
          </w:p>
        </w:tc>
        <w:tc>
          <w:tcPr>
            <w:tcW w:w="4603" w:type="dxa"/>
            <w:shd w:val="clear" w:color="auto" w:fill="auto"/>
            <w:vAlign w:val="center"/>
          </w:tcPr>
          <w:p w14:paraId="11890AC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广州市海穗房地产代理有限公司</w:t>
            </w:r>
          </w:p>
        </w:tc>
        <w:tc>
          <w:tcPr>
            <w:tcW w:w="1276" w:type="dxa"/>
            <w:shd w:val="clear" w:color="auto" w:fill="auto"/>
            <w:vAlign w:val="center"/>
          </w:tcPr>
          <w:p w14:paraId="5426D73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94.6</w:t>
            </w:r>
          </w:p>
        </w:tc>
        <w:tc>
          <w:tcPr>
            <w:tcW w:w="1275" w:type="dxa"/>
            <w:shd w:val="clear" w:color="auto" w:fill="auto"/>
            <w:vAlign w:val="center"/>
          </w:tcPr>
          <w:p w14:paraId="61DC715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6F8C626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21</w:t>
            </w:r>
          </w:p>
        </w:tc>
      </w:tr>
      <w:tr w14:paraId="04CF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6218DB20">
            <w:pPr>
              <w:jc w:val="center"/>
              <w:rPr>
                <w:rFonts w:ascii="Times New Roman" w:hAnsi="Times New Roman"/>
                <w:color w:val="000000"/>
                <w:sz w:val="24"/>
              </w:rPr>
            </w:pPr>
            <w:r>
              <w:rPr>
                <w:rFonts w:ascii="Times New Roman" w:hAnsi="Times New Roman"/>
                <w:color w:val="000000"/>
                <w:sz w:val="24"/>
              </w:rPr>
              <w:t>2</w:t>
            </w:r>
          </w:p>
        </w:tc>
        <w:tc>
          <w:tcPr>
            <w:tcW w:w="4603" w:type="dxa"/>
            <w:shd w:val="clear" w:color="auto" w:fill="auto"/>
            <w:vAlign w:val="center"/>
          </w:tcPr>
          <w:p w14:paraId="1AA91A9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广州市智富房地产代理有限公司</w:t>
            </w:r>
          </w:p>
        </w:tc>
        <w:tc>
          <w:tcPr>
            <w:tcW w:w="1276" w:type="dxa"/>
            <w:shd w:val="clear" w:color="auto" w:fill="auto"/>
            <w:vAlign w:val="center"/>
          </w:tcPr>
          <w:p w14:paraId="5D9E8DB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93.5</w:t>
            </w:r>
          </w:p>
        </w:tc>
        <w:tc>
          <w:tcPr>
            <w:tcW w:w="1275" w:type="dxa"/>
            <w:shd w:val="clear" w:color="auto" w:fill="auto"/>
            <w:vAlign w:val="center"/>
          </w:tcPr>
          <w:p w14:paraId="51B152A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4844166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13</w:t>
            </w:r>
          </w:p>
        </w:tc>
      </w:tr>
      <w:tr w14:paraId="1244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A0906B2">
            <w:pPr>
              <w:jc w:val="center"/>
              <w:rPr>
                <w:rFonts w:ascii="Times New Roman" w:hAnsi="Times New Roman"/>
                <w:color w:val="000000"/>
                <w:sz w:val="24"/>
              </w:rPr>
            </w:pPr>
            <w:r>
              <w:rPr>
                <w:rFonts w:ascii="Times New Roman" w:hAnsi="Times New Roman"/>
                <w:color w:val="000000"/>
                <w:sz w:val="24"/>
              </w:rPr>
              <w:t>3</w:t>
            </w:r>
          </w:p>
        </w:tc>
        <w:tc>
          <w:tcPr>
            <w:tcW w:w="4603" w:type="dxa"/>
            <w:shd w:val="clear" w:color="auto" w:fill="auto"/>
            <w:vAlign w:val="center"/>
          </w:tcPr>
          <w:p w14:paraId="4BDCF9C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广州市富裕房地产中介代理有限公司</w:t>
            </w:r>
          </w:p>
        </w:tc>
        <w:tc>
          <w:tcPr>
            <w:tcW w:w="1276" w:type="dxa"/>
            <w:shd w:val="clear" w:color="auto" w:fill="auto"/>
            <w:vAlign w:val="center"/>
          </w:tcPr>
          <w:p w14:paraId="2B67960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92.5</w:t>
            </w:r>
          </w:p>
        </w:tc>
        <w:tc>
          <w:tcPr>
            <w:tcW w:w="1275" w:type="dxa"/>
            <w:shd w:val="clear" w:color="auto" w:fill="auto"/>
            <w:vAlign w:val="center"/>
          </w:tcPr>
          <w:p w14:paraId="2B4EFAF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5A3E382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w:t>
            </w:r>
          </w:p>
        </w:tc>
      </w:tr>
      <w:tr w14:paraId="5443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7CE8100B">
            <w:pPr>
              <w:jc w:val="center"/>
              <w:rPr>
                <w:rFonts w:ascii="Times New Roman" w:hAnsi="Times New Roman"/>
                <w:color w:val="000000"/>
                <w:sz w:val="24"/>
              </w:rPr>
            </w:pPr>
            <w:r>
              <w:rPr>
                <w:rFonts w:ascii="Times New Roman" w:hAnsi="Times New Roman"/>
                <w:color w:val="000000"/>
                <w:sz w:val="24"/>
              </w:rPr>
              <w:t>4</w:t>
            </w:r>
          </w:p>
        </w:tc>
        <w:tc>
          <w:tcPr>
            <w:tcW w:w="4603" w:type="dxa"/>
            <w:shd w:val="clear" w:color="auto" w:fill="auto"/>
            <w:vAlign w:val="center"/>
          </w:tcPr>
          <w:p w14:paraId="3395E03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广州市添房置业有限公司</w:t>
            </w:r>
          </w:p>
        </w:tc>
        <w:tc>
          <w:tcPr>
            <w:tcW w:w="1276" w:type="dxa"/>
            <w:shd w:val="clear" w:color="auto" w:fill="auto"/>
            <w:vAlign w:val="center"/>
          </w:tcPr>
          <w:p w14:paraId="0379232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92.4</w:t>
            </w:r>
          </w:p>
        </w:tc>
        <w:tc>
          <w:tcPr>
            <w:tcW w:w="1275" w:type="dxa"/>
            <w:shd w:val="clear" w:color="auto" w:fill="auto"/>
            <w:vAlign w:val="center"/>
          </w:tcPr>
          <w:p w14:paraId="1812556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463E441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7</w:t>
            </w:r>
          </w:p>
        </w:tc>
      </w:tr>
      <w:tr w14:paraId="1EEA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6D09FE6B">
            <w:pPr>
              <w:jc w:val="center"/>
              <w:rPr>
                <w:rFonts w:ascii="Times New Roman" w:hAnsi="Times New Roman"/>
                <w:color w:val="000000"/>
                <w:sz w:val="24"/>
              </w:rPr>
            </w:pPr>
            <w:r>
              <w:rPr>
                <w:rFonts w:ascii="Times New Roman" w:hAnsi="Times New Roman"/>
                <w:color w:val="000000"/>
                <w:sz w:val="24"/>
              </w:rPr>
              <w:t>5</w:t>
            </w:r>
          </w:p>
        </w:tc>
        <w:tc>
          <w:tcPr>
            <w:tcW w:w="4603" w:type="dxa"/>
            <w:shd w:val="clear" w:color="auto" w:fill="auto"/>
            <w:vAlign w:val="center"/>
          </w:tcPr>
          <w:p w14:paraId="4BC0293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广州市广福居房地产代理有限公司</w:t>
            </w:r>
          </w:p>
        </w:tc>
        <w:tc>
          <w:tcPr>
            <w:tcW w:w="1276" w:type="dxa"/>
            <w:shd w:val="clear" w:color="auto" w:fill="auto"/>
            <w:vAlign w:val="center"/>
          </w:tcPr>
          <w:p w14:paraId="596CF1E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92.1</w:t>
            </w:r>
          </w:p>
        </w:tc>
        <w:tc>
          <w:tcPr>
            <w:tcW w:w="1275" w:type="dxa"/>
            <w:shd w:val="clear" w:color="auto" w:fill="auto"/>
            <w:vAlign w:val="center"/>
          </w:tcPr>
          <w:p w14:paraId="6949C4B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504DBEA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21</w:t>
            </w:r>
          </w:p>
        </w:tc>
      </w:tr>
      <w:tr w14:paraId="2D8B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537F9D15">
            <w:pPr>
              <w:jc w:val="center"/>
              <w:rPr>
                <w:rFonts w:ascii="Times New Roman" w:hAnsi="Times New Roman"/>
                <w:color w:val="000000"/>
                <w:sz w:val="24"/>
              </w:rPr>
            </w:pPr>
            <w:r>
              <w:rPr>
                <w:rFonts w:ascii="Times New Roman" w:hAnsi="Times New Roman"/>
                <w:color w:val="000000"/>
                <w:sz w:val="24"/>
              </w:rPr>
              <w:t>6</w:t>
            </w:r>
          </w:p>
        </w:tc>
        <w:tc>
          <w:tcPr>
            <w:tcW w:w="4603" w:type="dxa"/>
            <w:shd w:val="clear" w:color="auto" w:fill="auto"/>
            <w:vAlign w:val="center"/>
          </w:tcPr>
          <w:p w14:paraId="01E59AF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广州市天河南越房地产咨询服务有限公司</w:t>
            </w:r>
          </w:p>
        </w:tc>
        <w:tc>
          <w:tcPr>
            <w:tcW w:w="1276" w:type="dxa"/>
            <w:shd w:val="clear" w:color="auto" w:fill="auto"/>
            <w:vAlign w:val="center"/>
          </w:tcPr>
          <w:p w14:paraId="71A5DE4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92.0</w:t>
            </w:r>
          </w:p>
        </w:tc>
        <w:tc>
          <w:tcPr>
            <w:tcW w:w="1275" w:type="dxa"/>
            <w:shd w:val="clear" w:color="auto" w:fill="auto"/>
            <w:vAlign w:val="center"/>
          </w:tcPr>
          <w:p w14:paraId="5BAE527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1EB4335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25</w:t>
            </w:r>
          </w:p>
        </w:tc>
      </w:tr>
      <w:tr w14:paraId="07C7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66E22B66">
            <w:pPr>
              <w:jc w:val="center"/>
              <w:rPr>
                <w:rFonts w:ascii="Times New Roman" w:hAnsi="Times New Roman"/>
                <w:color w:val="000000"/>
                <w:sz w:val="24"/>
              </w:rPr>
            </w:pPr>
            <w:r>
              <w:rPr>
                <w:rFonts w:ascii="Times New Roman" w:hAnsi="Times New Roman"/>
                <w:color w:val="000000"/>
                <w:sz w:val="24"/>
              </w:rPr>
              <w:t>7</w:t>
            </w:r>
          </w:p>
        </w:tc>
        <w:tc>
          <w:tcPr>
            <w:tcW w:w="4603" w:type="dxa"/>
            <w:shd w:val="clear" w:color="auto" w:fill="auto"/>
            <w:vAlign w:val="center"/>
          </w:tcPr>
          <w:p w14:paraId="3136D02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广州市安佳房地产代理有限公司</w:t>
            </w:r>
          </w:p>
        </w:tc>
        <w:tc>
          <w:tcPr>
            <w:tcW w:w="1276" w:type="dxa"/>
            <w:shd w:val="clear" w:color="auto" w:fill="auto"/>
            <w:vAlign w:val="center"/>
          </w:tcPr>
          <w:p w14:paraId="1A13E9A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92.0</w:t>
            </w:r>
          </w:p>
        </w:tc>
        <w:tc>
          <w:tcPr>
            <w:tcW w:w="1275" w:type="dxa"/>
            <w:shd w:val="clear" w:color="auto" w:fill="auto"/>
            <w:vAlign w:val="center"/>
          </w:tcPr>
          <w:p w14:paraId="38197B0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4C67016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17</w:t>
            </w:r>
          </w:p>
        </w:tc>
      </w:tr>
      <w:tr w14:paraId="6420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77675DF1">
            <w:pPr>
              <w:jc w:val="center"/>
              <w:rPr>
                <w:rFonts w:ascii="Times New Roman" w:hAnsi="Times New Roman"/>
                <w:color w:val="000000"/>
                <w:sz w:val="24"/>
              </w:rPr>
            </w:pPr>
            <w:r>
              <w:rPr>
                <w:rFonts w:ascii="Times New Roman" w:hAnsi="Times New Roman"/>
                <w:color w:val="000000"/>
                <w:sz w:val="24"/>
              </w:rPr>
              <w:t>8</w:t>
            </w:r>
          </w:p>
        </w:tc>
        <w:tc>
          <w:tcPr>
            <w:tcW w:w="4603" w:type="dxa"/>
            <w:shd w:val="clear" w:color="auto" w:fill="auto"/>
            <w:vAlign w:val="center"/>
          </w:tcPr>
          <w:p w14:paraId="28D9E71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广州市高立房产置业有限公司</w:t>
            </w:r>
          </w:p>
        </w:tc>
        <w:tc>
          <w:tcPr>
            <w:tcW w:w="1276" w:type="dxa"/>
            <w:shd w:val="clear" w:color="auto" w:fill="auto"/>
            <w:vAlign w:val="center"/>
          </w:tcPr>
          <w:p w14:paraId="2BA8946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91.8</w:t>
            </w:r>
          </w:p>
        </w:tc>
        <w:tc>
          <w:tcPr>
            <w:tcW w:w="1275" w:type="dxa"/>
            <w:shd w:val="clear" w:color="auto" w:fill="auto"/>
            <w:vAlign w:val="center"/>
          </w:tcPr>
          <w:p w14:paraId="24D4785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33FC2D4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w:t>
            </w:r>
          </w:p>
        </w:tc>
      </w:tr>
      <w:tr w14:paraId="6D21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19CA8A5">
            <w:pPr>
              <w:jc w:val="center"/>
              <w:rPr>
                <w:rFonts w:ascii="Times New Roman" w:hAnsi="Times New Roman"/>
                <w:color w:val="000000"/>
                <w:sz w:val="24"/>
              </w:rPr>
            </w:pPr>
            <w:r>
              <w:rPr>
                <w:rFonts w:ascii="Times New Roman" w:hAnsi="Times New Roman"/>
                <w:color w:val="000000"/>
                <w:sz w:val="24"/>
              </w:rPr>
              <w:t>9</w:t>
            </w:r>
          </w:p>
        </w:tc>
        <w:tc>
          <w:tcPr>
            <w:tcW w:w="4603" w:type="dxa"/>
            <w:shd w:val="clear" w:color="auto" w:fill="auto"/>
            <w:vAlign w:val="center"/>
          </w:tcPr>
          <w:p w14:paraId="71ED928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广东合富辉煌房地产顾问有限公司</w:t>
            </w:r>
          </w:p>
        </w:tc>
        <w:tc>
          <w:tcPr>
            <w:tcW w:w="1276" w:type="dxa"/>
            <w:shd w:val="clear" w:color="auto" w:fill="auto"/>
            <w:vAlign w:val="center"/>
          </w:tcPr>
          <w:p w14:paraId="419E4EF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91.4</w:t>
            </w:r>
          </w:p>
        </w:tc>
        <w:tc>
          <w:tcPr>
            <w:tcW w:w="1275" w:type="dxa"/>
            <w:shd w:val="clear" w:color="auto" w:fill="auto"/>
            <w:vAlign w:val="center"/>
          </w:tcPr>
          <w:p w14:paraId="2795D42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6014AEC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19</w:t>
            </w:r>
          </w:p>
        </w:tc>
      </w:tr>
      <w:tr w14:paraId="0399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544DC53">
            <w:pPr>
              <w:jc w:val="center"/>
              <w:rPr>
                <w:rFonts w:ascii="Times New Roman" w:hAnsi="Times New Roman"/>
                <w:color w:val="000000"/>
                <w:sz w:val="24"/>
              </w:rPr>
            </w:pPr>
            <w:r>
              <w:rPr>
                <w:rFonts w:ascii="Times New Roman" w:hAnsi="Times New Roman"/>
                <w:color w:val="000000"/>
                <w:sz w:val="24"/>
              </w:rPr>
              <w:t>10</w:t>
            </w:r>
          </w:p>
        </w:tc>
        <w:tc>
          <w:tcPr>
            <w:tcW w:w="4603" w:type="dxa"/>
            <w:shd w:val="clear" w:color="auto" w:fill="auto"/>
            <w:vAlign w:val="center"/>
          </w:tcPr>
          <w:p w14:paraId="02F392C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广州大源按揭代理服务有限公司</w:t>
            </w:r>
          </w:p>
        </w:tc>
        <w:tc>
          <w:tcPr>
            <w:tcW w:w="1276" w:type="dxa"/>
            <w:shd w:val="clear" w:color="auto" w:fill="auto"/>
            <w:vAlign w:val="center"/>
          </w:tcPr>
          <w:p w14:paraId="65A17EF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91.0</w:t>
            </w:r>
          </w:p>
        </w:tc>
        <w:tc>
          <w:tcPr>
            <w:tcW w:w="1275" w:type="dxa"/>
            <w:shd w:val="clear" w:color="auto" w:fill="auto"/>
            <w:vAlign w:val="center"/>
          </w:tcPr>
          <w:p w14:paraId="243663F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440BB75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20</w:t>
            </w:r>
          </w:p>
        </w:tc>
      </w:tr>
      <w:tr w14:paraId="7F15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0549FAC3">
            <w:pPr>
              <w:jc w:val="center"/>
              <w:rPr>
                <w:rFonts w:ascii="Times New Roman" w:hAnsi="Times New Roman"/>
                <w:color w:val="000000"/>
                <w:sz w:val="24"/>
              </w:rPr>
            </w:pPr>
            <w:r>
              <w:rPr>
                <w:rFonts w:ascii="Times New Roman" w:hAnsi="Times New Roman"/>
                <w:color w:val="000000"/>
                <w:sz w:val="24"/>
              </w:rPr>
              <w:t>11</w:t>
            </w:r>
          </w:p>
        </w:tc>
        <w:tc>
          <w:tcPr>
            <w:tcW w:w="4603" w:type="dxa"/>
            <w:shd w:val="clear" w:color="auto" w:fill="auto"/>
            <w:vAlign w:val="center"/>
          </w:tcPr>
          <w:p w14:paraId="688AF29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粤海物业管理有限公司</w:t>
            </w:r>
          </w:p>
        </w:tc>
        <w:tc>
          <w:tcPr>
            <w:tcW w:w="1276" w:type="dxa"/>
            <w:shd w:val="clear" w:color="auto" w:fill="auto"/>
            <w:vAlign w:val="center"/>
          </w:tcPr>
          <w:p w14:paraId="2EA3617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90.5</w:t>
            </w:r>
          </w:p>
        </w:tc>
        <w:tc>
          <w:tcPr>
            <w:tcW w:w="1275" w:type="dxa"/>
            <w:shd w:val="clear" w:color="auto" w:fill="auto"/>
            <w:vAlign w:val="center"/>
          </w:tcPr>
          <w:p w14:paraId="33FC4AB8">
            <w:pPr>
              <w:jc w:val="center"/>
              <w:rPr>
                <w:rFonts w:ascii="Times New Roman" w:hAnsi="Times New Roman" w:eastAsia="仿宋"/>
                <w:color w:val="000000" w:themeColor="text1"/>
                <w:sz w:val="24"/>
                <w:szCs w:val="24"/>
                <w14:textFill>
                  <w14:solidFill>
                    <w14:schemeClr w14:val="tx1"/>
                  </w14:solidFill>
                </w14:textFill>
              </w:rPr>
            </w:pPr>
            <w:bookmarkStart w:id="33" w:name="OLE_LINK5"/>
            <w:r>
              <w:rPr>
                <w:rFonts w:ascii="Times New Roman" w:hAnsi="Times New Roman" w:eastAsia="仿宋"/>
                <w:color w:val="000000" w:themeColor="text1"/>
                <w:sz w:val="24"/>
                <w:szCs w:val="24"/>
                <w14:textFill>
                  <w14:solidFill>
                    <w14:schemeClr w14:val="tx1"/>
                  </w14:solidFill>
                </w14:textFill>
              </w:rPr>
              <w:t>良好</w:t>
            </w:r>
            <w:bookmarkEnd w:id="33"/>
          </w:p>
        </w:tc>
        <w:tc>
          <w:tcPr>
            <w:tcW w:w="1276" w:type="dxa"/>
            <w:shd w:val="clear" w:color="auto" w:fill="auto"/>
            <w:vAlign w:val="center"/>
          </w:tcPr>
          <w:p w14:paraId="4566C78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14</w:t>
            </w:r>
          </w:p>
        </w:tc>
      </w:tr>
      <w:tr w14:paraId="108F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7484D757">
            <w:pPr>
              <w:jc w:val="center"/>
              <w:rPr>
                <w:rFonts w:ascii="Times New Roman" w:hAnsi="Times New Roman"/>
                <w:color w:val="000000"/>
                <w:sz w:val="24"/>
              </w:rPr>
            </w:pPr>
            <w:r>
              <w:rPr>
                <w:rFonts w:ascii="Times New Roman" w:hAnsi="Times New Roman"/>
                <w:color w:val="000000"/>
                <w:sz w:val="24"/>
              </w:rPr>
              <w:t>12</w:t>
            </w:r>
          </w:p>
        </w:tc>
        <w:tc>
          <w:tcPr>
            <w:tcW w:w="4603" w:type="dxa"/>
            <w:shd w:val="clear" w:color="auto" w:fill="auto"/>
            <w:vAlign w:val="center"/>
          </w:tcPr>
          <w:p w14:paraId="2A0F1D2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恒昌（广州）房地产顾问有限公司</w:t>
            </w:r>
          </w:p>
        </w:tc>
        <w:tc>
          <w:tcPr>
            <w:tcW w:w="1276" w:type="dxa"/>
            <w:shd w:val="clear" w:color="auto" w:fill="auto"/>
            <w:vAlign w:val="center"/>
          </w:tcPr>
          <w:p w14:paraId="1D75263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90.5</w:t>
            </w:r>
          </w:p>
        </w:tc>
        <w:tc>
          <w:tcPr>
            <w:tcW w:w="1275" w:type="dxa"/>
            <w:shd w:val="clear" w:color="auto" w:fill="auto"/>
            <w:vAlign w:val="center"/>
          </w:tcPr>
          <w:p w14:paraId="0545DE6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12D3D58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23</w:t>
            </w:r>
          </w:p>
        </w:tc>
      </w:tr>
      <w:tr w14:paraId="2D71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6BE3F37">
            <w:pPr>
              <w:jc w:val="center"/>
              <w:rPr>
                <w:rFonts w:ascii="Times New Roman" w:hAnsi="Times New Roman"/>
                <w:color w:val="000000"/>
                <w:sz w:val="24"/>
              </w:rPr>
            </w:pPr>
            <w:r>
              <w:rPr>
                <w:rFonts w:ascii="Times New Roman" w:hAnsi="Times New Roman"/>
                <w:color w:val="000000"/>
                <w:sz w:val="24"/>
              </w:rPr>
              <w:t>13</w:t>
            </w:r>
          </w:p>
        </w:tc>
        <w:tc>
          <w:tcPr>
            <w:tcW w:w="4603" w:type="dxa"/>
            <w:shd w:val="clear" w:color="auto" w:fill="auto"/>
            <w:vAlign w:val="center"/>
          </w:tcPr>
          <w:p w14:paraId="4B338F1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广州市盈得杰房地产咨询有限公司</w:t>
            </w:r>
          </w:p>
        </w:tc>
        <w:tc>
          <w:tcPr>
            <w:tcW w:w="1276" w:type="dxa"/>
            <w:shd w:val="clear" w:color="auto" w:fill="auto"/>
            <w:vAlign w:val="center"/>
          </w:tcPr>
          <w:p w14:paraId="25FAC46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90.5</w:t>
            </w:r>
          </w:p>
        </w:tc>
        <w:tc>
          <w:tcPr>
            <w:tcW w:w="1275" w:type="dxa"/>
            <w:shd w:val="clear" w:color="auto" w:fill="auto"/>
            <w:vAlign w:val="center"/>
          </w:tcPr>
          <w:p w14:paraId="35D53DB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0AC62EE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22</w:t>
            </w:r>
          </w:p>
        </w:tc>
      </w:tr>
      <w:tr w14:paraId="24F9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795ED272">
            <w:pPr>
              <w:jc w:val="center"/>
              <w:rPr>
                <w:rFonts w:ascii="Times New Roman" w:hAnsi="Times New Roman"/>
                <w:color w:val="000000"/>
                <w:sz w:val="24"/>
              </w:rPr>
            </w:pPr>
            <w:r>
              <w:rPr>
                <w:rFonts w:ascii="Times New Roman" w:hAnsi="Times New Roman"/>
                <w:color w:val="000000"/>
                <w:sz w:val="24"/>
              </w:rPr>
              <w:t>14</w:t>
            </w:r>
          </w:p>
        </w:tc>
        <w:tc>
          <w:tcPr>
            <w:tcW w:w="4603" w:type="dxa"/>
            <w:shd w:val="clear" w:color="auto" w:fill="auto"/>
            <w:vAlign w:val="center"/>
          </w:tcPr>
          <w:p w14:paraId="4AFB705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广州辉红房地产代理有限公司</w:t>
            </w:r>
          </w:p>
        </w:tc>
        <w:tc>
          <w:tcPr>
            <w:tcW w:w="1276" w:type="dxa"/>
            <w:shd w:val="clear" w:color="auto" w:fill="auto"/>
            <w:vAlign w:val="center"/>
          </w:tcPr>
          <w:p w14:paraId="00B1432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90.2</w:t>
            </w:r>
          </w:p>
        </w:tc>
        <w:tc>
          <w:tcPr>
            <w:tcW w:w="1275" w:type="dxa"/>
            <w:shd w:val="clear" w:color="auto" w:fill="auto"/>
            <w:vAlign w:val="center"/>
          </w:tcPr>
          <w:p w14:paraId="18DF389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052DA01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16</w:t>
            </w:r>
          </w:p>
        </w:tc>
      </w:tr>
      <w:tr w14:paraId="7A0F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06533492">
            <w:pPr>
              <w:jc w:val="center"/>
              <w:rPr>
                <w:rFonts w:ascii="Times New Roman" w:hAnsi="Times New Roman"/>
                <w:color w:val="000000"/>
                <w:sz w:val="24"/>
              </w:rPr>
            </w:pPr>
            <w:r>
              <w:rPr>
                <w:rFonts w:ascii="Times New Roman" w:hAnsi="Times New Roman"/>
                <w:color w:val="000000"/>
                <w:sz w:val="24"/>
              </w:rPr>
              <w:t>15</w:t>
            </w:r>
          </w:p>
        </w:tc>
        <w:tc>
          <w:tcPr>
            <w:tcW w:w="4603" w:type="dxa"/>
            <w:shd w:val="clear" w:color="auto" w:fill="auto"/>
            <w:vAlign w:val="center"/>
          </w:tcPr>
          <w:p w14:paraId="382C9BD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广州恒逸房地产代理有限公司</w:t>
            </w:r>
          </w:p>
        </w:tc>
        <w:tc>
          <w:tcPr>
            <w:tcW w:w="1276" w:type="dxa"/>
            <w:shd w:val="clear" w:color="auto" w:fill="auto"/>
            <w:vAlign w:val="center"/>
          </w:tcPr>
          <w:p w14:paraId="0FF7DD6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90.0</w:t>
            </w:r>
          </w:p>
        </w:tc>
        <w:tc>
          <w:tcPr>
            <w:tcW w:w="1275" w:type="dxa"/>
            <w:shd w:val="clear" w:color="auto" w:fill="auto"/>
            <w:vAlign w:val="center"/>
          </w:tcPr>
          <w:p w14:paraId="0DB7D25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7A4C3D5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21</w:t>
            </w:r>
          </w:p>
        </w:tc>
      </w:tr>
      <w:tr w14:paraId="5CB5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2A6C2DC3">
            <w:pPr>
              <w:jc w:val="center"/>
              <w:rPr>
                <w:rFonts w:ascii="Times New Roman" w:hAnsi="Times New Roman"/>
                <w:color w:val="000000"/>
                <w:sz w:val="24"/>
              </w:rPr>
            </w:pPr>
            <w:r>
              <w:rPr>
                <w:rFonts w:ascii="Times New Roman" w:hAnsi="Times New Roman"/>
                <w:color w:val="000000"/>
                <w:sz w:val="24"/>
              </w:rPr>
              <w:t>16</w:t>
            </w:r>
          </w:p>
        </w:tc>
        <w:tc>
          <w:tcPr>
            <w:tcW w:w="4603" w:type="dxa"/>
            <w:shd w:val="clear" w:color="auto" w:fill="auto"/>
            <w:vAlign w:val="center"/>
          </w:tcPr>
          <w:p w14:paraId="49C52FA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广州市展图物业管理有限公司</w:t>
            </w:r>
          </w:p>
        </w:tc>
        <w:tc>
          <w:tcPr>
            <w:tcW w:w="1276" w:type="dxa"/>
            <w:shd w:val="clear" w:color="auto" w:fill="auto"/>
            <w:vAlign w:val="center"/>
          </w:tcPr>
          <w:p w14:paraId="63BDB4D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90.0</w:t>
            </w:r>
          </w:p>
        </w:tc>
        <w:tc>
          <w:tcPr>
            <w:tcW w:w="1275" w:type="dxa"/>
            <w:shd w:val="clear" w:color="auto" w:fill="auto"/>
            <w:vAlign w:val="center"/>
          </w:tcPr>
          <w:p w14:paraId="7EAE6B7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0BADA85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27</w:t>
            </w:r>
          </w:p>
        </w:tc>
      </w:tr>
      <w:tr w14:paraId="6112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76081DA5">
            <w:pPr>
              <w:jc w:val="center"/>
              <w:rPr>
                <w:rFonts w:ascii="Times New Roman" w:hAnsi="Times New Roman"/>
                <w:color w:val="000000"/>
                <w:sz w:val="24"/>
              </w:rPr>
            </w:pPr>
            <w:r>
              <w:rPr>
                <w:rFonts w:ascii="Times New Roman" w:hAnsi="Times New Roman"/>
                <w:color w:val="000000"/>
                <w:sz w:val="24"/>
              </w:rPr>
              <w:t>17</w:t>
            </w:r>
          </w:p>
        </w:tc>
        <w:tc>
          <w:tcPr>
            <w:tcW w:w="4603" w:type="dxa"/>
            <w:shd w:val="clear" w:color="auto" w:fill="auto"/>
            <w:vAlign w:val="center"/>
          </w:tcPr>
          <w:p w14:paraId="6430810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广州市德鸿行房地产代理有限公司</w:t>
            </w:r>
          </w:p>
        </w:tc>
        <w:tc>
          <w:tcPr>
            <w:tcW w:w="1276" w:type="dxa"/>
            <w:shd w:val="clear" w:color="auto" w:fill="auto"/>
            <w:vAlign w:val="center"/>
          </w:tcPr>
          <w:p w14:paraId="318B447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90.0</w:t>
            </w:r>
          </w:p>
        </w:tc>
        <w:tc>
          <w:tcPr>
            <w:tcW w:w="1275" w:type="dxa"/>
            <w:shd w:val="clear" w:color="auto" w:fill="auto"/>
            <w:vAlign w:val="center"/>
          </w:tcPr>
          <w:p w14:paraId="1D053E1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276" w:type="dxa"/>
            <w:shd w:val="clear" w:color="auto" w:fill="auto"/>
            <w:vAlign w:val="center"/>
          </w:tcPr>
          <w:p w14:paraId="2A28055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7</w:t>
            </w:r>
          </w:p>
        </w:tc>
      </w:tr>
      <w:bookmarkEnd w:id="32"/>
      <w:tr w14:paraId="2467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09" w:type="dxa"/>
            <w:gridSpan w:val="5"/>
            <w:shd w:val="clear" w:color="auto" w:fill="auto"/>
            <w:vAlign w:val="center"/>
          </w:tcPr>
          <w:p w14:paraId="71CD8133">
            <w:pPr>
              <w:jc w:val="center"/>
              <w:rPr>
                <w:rFonts w:ascii="Times New Roman" w:hAnsi="Times New Roman" w:eastAsia="仿宋"/>
                <w:b/>
                <w:color w:val="000000" w:themeColor="text1"/>
                <w:sz w:val="22"/>
                <w:szCs w:val="23"/>
                <w14:textFill>
                  <w14:solidFill>
                    <w14:schemeClr w14:val="tx1"/>
                  </w14:solidFill>
                </w14:textFill>
              </w:rPr>
            </w:pPr>
            <w:r>
              <w:rPr>
                <w:rFonts w:hint="eastAsia" w:ascii="Times New Roman" w:hAnsi="Times New Roman" w:eastAsia="仿宋"/>
                <w:b/>
                <w:color w:val="000000" w:themeColor="text1"/>
                <w:sz w:val="24"/>
                <w:szCs w:val="23"/>
                <w14:textFill>
                  <w14:solidFill>
                    <w14:schemeClr w14:val="tx1"/>
                  </w14:solidFill>
                </w14:textFill>
              </w:rPr>
              <w:t>“</w:t>
            </w:r>
            <w:r>
              <w:rPr>
                <w:rFonts w:ascii="Times New Roman" w:hAnsi="Times New Roman" w:eastAsia="仿宋"/>
                <w:b/>
                <w:color w:val="000000" w:themeColor="text1"/>
                <w:sz w:val="24"/>
                <w:szCs w:val="23"/>
                <w14:textFill>
                  <w14:solidFill>
                    <w14:schemeClr w14:val="tx1"/>
                  </w14:solidFill>
                </w14:textFill>
              </w:rPr>
              <w:t>预警</w:t>
            </w:r>
            <w:r>
              <w:rPr>
                <w:rFonts w:hint="eastAsia" w:ascii="Times New Roman" w:hAnsi="Times New Roman" w:eastAsia="仿宋"/>
                <w:b/>
                <w:color w:val="000000" w:themeColor="text1"/>
                <w:sz w:val="24"/>
                <w:szCs w:val="23"/>
                <w14:textFill>
                  <w14:solidFill>
                    <w14:schemeClr w14:val="tx1"/>
                  </w14:solidFill>
                </w14:textFill>
              </w:rPr>
              <w:t>”</w:t>
            </w:r>
            <w:r>
              <w:rPr>
                <w:rFonts w:ascii="Times New Roman" w:hAnsi="Times New Roman" w:eastAsia="仿宋"/>
                <w:b/>
                <w:color w:val="000000" w:themeColor="text1"/>
                <w:sz w:val="24"/>
                <w:szCs w:val="23"/>
                <w14:textFill>
                  <w14:solidFill>
                    <w14:schemeClr w14:val="tx1"/>
                  </w14:solidFill>
                </w14:textFill>
              </w:rPr>
              <w:t>等级中介机构名单（共2家）</w:t>
            </w:r>
          </w:p>
        </w:tc>
      </w:tr>
      <w:tr w14:paraId="0BB1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08FF0F7">
            <w:pPr>
              <w:jc w:val="center"/>
              <w:rPr>
                <w:rFonts w:ascii="Times New Roman" w:hAnsi="Times New Roman"/>
                <w:color w:val="000000"/>
                <w:sz w:val="24"/>
              </w:rPr>
            </w:pPr>
            <w:r>
              <w:rPr>
                <w:rFonts w:ascii="Times New Roman" w:hAnsi="Times New Roman"/>
                <w:color w:val="000000"/>
                <w:sz w:val="24"/>
              </w:rPr>
              <w:t>1</w:t>
            </w:r>
          </w:p>
        </w:tc>
        <w:tc>
          <w:tcPr>
            <w:tcW w:w="4603" w:type="dxa"/>
            <w:shd w:val="clear" w:color="auto" w:fill="auto"/>
            <w:vAlign w:val="center"/>
          </w:tcPr>
          <w:p w14:paraId="07C0AFB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w:t>
            </w:r>
            <w:bookmarkStart w:id="34" w:name="OLE_LINK26"/>
            <w:bookmarkStart w:id="35" w:name="OLE_LINK27"/>
            <w:r>
              <w:rPr>
                <w:rFonts w:ascii="Times New Roman" w:hAnsi="Times New Roman" w:eastAsia="仿宋"/>
                <w:color w:val="000000" w:themeColor="text1"/>
                <w:sz w:val="24"/>
                <w:szCs w:val="24"/>
                <w14:textFill>
                  <w14:solidFill>
                    <w14:schemeClr w14:val="tx1"/>
                  </w14:solidFill>
                </w14:textFill>
              </w:rPr>
              <w:t>晟创</w:t>
            </w:r>
            <w:bookmarkEnd w:id="34"/>
            <w:bookmarkEnd w:id="35"/>
            <w:r>
              <w:rPr>
                <w:rFonts w:ascii="Times New Roman" w:hAnsi="Times New Roman" w:eastAsia="仿宋"/>
                <w:color w:val="000000" w:themeColor="text1"/>
                <w:sz w:val="24"/>
                <w:szCs w:val="24"/>
                <w14:textFill>
                  <w14:solidFill>
                    <w14:schemeClr w14:val="tx1"/>
                  </w14:solidFill>
                </w14:textFill>
              </w:rPr>
              <w:t>房地产代理有限公司</w:t>
            </w:r>
          </w:p>
        </w:tc>
        <w:tc>
          <w:tcPr>
            <w:tcW w:w="1276" w:type="dxa"/>
            <w:shd w:val="clear" w:color="auto" w:fill="auto"/>
            <w:vAlign w:val="center"/>
          </w:tcPr>
          <w:p w14:paraId="15B8C2E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69.0</w:t>
            </w:r>
          </w:p>
        </w:tc>
        <w:tc>
          <w:tcPr>
            <w:tcW w:w="1275" w:type="dxa"/>
            <w:shd w:val="clear" w:color="auto" w:fill="auto"/>
            <w:vAlign w:val="center"/>
          </w:tcPr>
          <w:p w14:paraId="124B5666">
            <w:pPr>
              <w:jc w:val="center"/>
              <w:rPr>
                <w:rFonts w:ascii="Times New Roman" w:hAnsi="Times New Roman" w:eastAsia="仿宋"/>
                <w:color w:val="000000" w:themeColor="text1"/>
                <w:sz w:val="24"/>
                <w:szCs w:val="24"/>
                <w14:textFill>
                  <w14:solidFill>
                    <w14:schemeClr w14:val="tx1"/>
                  </w14:solidFill>
                </w14:textFill>
              </w:rPr>
            </w:pPr>
            <w:bookmarkStart w:id="36" w:name="OLE_LINK7"/>
            <w:bookmarkStart w:id="37" w:name="OLE_LINK9"/>
            <w:bookmarkStart w:id="38" w:name="OLE_LINK8"/>
            <w:bookmarkStart w:id="39" w:name="OLE_LINK6"/>
            <w:r>
              <w:rPr>
                <w:rFonts w:ascii="Times New Roman" w:hAnsi="Times New Roman" w:eastAsia="仿宋"/>
                <w:color w:val="000000" w:themeColor="text1"/>
                <w:sz w:val="24"/>
                <w:szCs w:val="24"/>
                <w14:textFill>
                  <w14:solidFill>
                    <w14:schemeClr w14:val="tx1"/>
                  </w14:solidFill>
                </w14:textFill>
              </w:rPr>
              <w:t>预警</w:t>
            </w:r>
            <w:bookmarkEnd w:id="36"/>
            <w:bookmarkEnd w:id="37"/>
            <w:bookmarkEnd w:id="38"/>
            <w:bookmarkEnd w:id="39"/>
          </w:p>
        </w:tc>
        <w:tc>
          <w:tcPr>
            <w:tcW w:w="1276" w:type="dxa"/>
            <w:shd w:val="clear" w:color="auto" w:fill="auto"/>
            <w:vAlign w:val="center"/>
          </w:tcPr>
          <w:p w14:paraId="5192696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7</w:t>
            </w:r>
          </w:p>
        </w:tc>
      </w:tr>
      <w:tr w14:paraId="4662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9" w:type="dxa"/>
            <w:shd w:val="clear" w:color="auto" w:fill="auto"/>
            <w:vAlign w:val="center"/>
          </w:tcPr>
          <w:p w14:paraId="4F69F1A5">
            <w:pPr>
              <w:jc w:val="center"/>
              <w:rPr>
                <w:rFonts w:ascii="Times New Roman" w:hAnsi="Times New Roman"/>
                <w:color w:val="000000"/>
                <w:sz w:val="24"/>
              </w:rPr>
            </w:pPr>
            <w:r>
              <w:rPr>
                <w:rFonts w:ascii="Times New Roman" w:hAnsi="Times New Roman"/>
                <w:color w:val="000000"/>
                <w:sz w:val="24"/>
              </w:rPr>
              <w:t>2</w:t>
            </w:r>
          </w:p>
        </w:tc>
        <w:tc>
          <w:tcPr>
            <w:tcW w:w="4603" w:type="dxa"/>
            <w:shd w:val="clear" w:color="auto" w:fill="auto"/>
            <w:vAlign w:val="center"/>
          </w:tcPr>
          <w:p w14:paraId="019EA41E">
            <w:pPr>
              <w:jc w:val="center"/>
              <w:rPr>
                <w:rFonts w:ascii="Times New Roman" w:hAnsi="Times New Roman" w:eastAsia="仿宋"/>
                <w:color w:val="000000" w:themeColor="text1"/>
                <w:sz w:val="24"/>
                <w:szCs w:val="24"/>
                <w14:textFill>
                  <w14:solidFill>
                    <w14:schemeClr w14:val="tx1"/>
                  </w14:solidFill>
                </w14:textFill>
              </w:rPr>
            </w:pPr>
            <w:bookmarkStart w:id="40" w:name="OLE_LINK32"/>
            <w:bookmarkStart w:id="41" w:name="OLE_LINK30"/>
            <w:bookmarkStart w:id="42" w:name="OLE_LINK31"/>
            <w:r>
              <w:rPr>
                <w:rFonts w:ascii="Times New Roman" w:hAnsi="Times New Roman" w:eastAsia="仿宋"/>
                <w:color w:val="000000" w:themeColor="text1"/>
                <w:sz w:val="24"/>
                <w:szCs w:val="24"/>
                <w14:textFill>
                  <w14:solidFill>
                    <w14:schemeClr w14:val="tx1"/>
                  </w14:solidFill>
                </w14:textFill>
              </w:rPr>
              <w:t>广州</w:t>
            </w:r>
            <w:bookmarkStart w:id="43" w:name="OLE_LINK29"/>
            <w:bookmarkStart w:id="44" w:name="OLE_LINK28"/>
            <w:r>
              <w:rPr>
                <w:rFonts w:ascii="Times New Roman" w:hAnsi="Times New Roman" w:eastAsia="仿宋"/>
                <w:color w:val="000000" w:themeColor="text1"/>
                <w:sz w:val="24"/>
                <w:szCs w:val="24"/>
                <w14:textFill>
                  <w14:solidFill>
                    <w14:schemeClr w14:val="tx1"/>
                  </w14:solidFill>
                </w14:textFill>
              </w:rPr>
              <w:t>美居</w:t>
            </w:r>
            <w:bookmarkEnd w:id="43"/>
            <w:bookmarkEnd w:id="44"/>
            <w:r>
              <w:rPr>
                <w:rFonts w:ascii="Times New Roman" w:hAnsi="Times New Roman" w:eastAsia="仿宋"/>
                <w:color w:val="000000" w:themeColor="text1"/>
                <w:sz w:val="24"/>
                <w:szCs w:val="24"/>
                <w14:textFill>
                  <w14:solidFill>
                    <w14:schemeClr w14:val="tx1"/>
                  </w14:solidFill>
                </w14:textFill>
              </w:rPr>
              <w:t>房地产咨询有限公司</w:t>
            </w:r>
            <w:bookmarkEnd w:id="40"/>
            <w:bookmarkEnd w:id="41"/>
            <w:bookmarkEnd w:id="42"/>
          </w:p>
        </w:tc>
        <w:tc>
          <w:tcPr>
            <w:tcW w:w="1276" w:type="dxa"/>
            <w:shd w:val="clear" w:color="auto" w:fill="auto"/>
            <w:vAlign w:val="center"/>
          </w:tcPr>
          <w:p w14:paraId="31E6215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66.0</w:t>
            </w:r>
          </w:p>
        </w:tc>
        <w:tc>
          <w:tcPr>
            <w:tcW w:w="1275" w:type="dxa"/>
            <w:shd w:val="clear" w:color="auto" w:fill="auto"/>
            <w:vAlign w:val="center"/>
          </w:tcPr>
          <w:p w14:paraId="7C67BD7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预警</w:t>
            </w:r>
          </w:p>
        </w:tc>
        <w:tc>
          <w:tcPr>
            <w:tcW w:w="1276" w:type="dxa"/>
            <w:shd w:val="clear" w:color="auto" w:fill="auto"/>
            <w:vAlign w:val="center"/>
          </w:tcPr>
          <w:p w14:paraId="5718933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w:t>
            </w:r>
          </w:p>
        </w:tc>
      </w:tr>
    </w:tbl>
    <w:p w14:paraId="53A7B8D2">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注：以上信用评分评级统计周期为2024年1月1日至12月31日，为年度信用评分评级。</w:t>
      </w:r>
    </w:p>
    <w:p w14:paraId="1E828B35">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6F22F98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自</w:t>
      </w:r>
      <w:r>
        <w:rPr>
          <w:rFonts w:hint="eastAsia" w:ascii="Times New Roman" w:hAnsi="Times New Roman" w:eastAsia="仿宋_GB2312"/>
          <w:color w:val="000000" w:themeColor="text1"/>
          <w:kern w:val="0"/>
          <w:sz w:val="32"/>
          <w:szCs w:val="32"/>
          <w14:textFill>
            <w14:solidFill>
              <w14:schemeClr w14:val="tx1"/>
            </w14:solidFill>
          </w14:textFill>
        </w:rPr>
        <w:t>2018年实行</w:t>
      </w:r>
      <w:r>
        <w:rPr>
          <w:rFonts w:ascii="Times New Roman" w:hAnsi="Times New Roman" w:eastAsia="仿宋_GB2312"/>
          <w:color w:val="000000" w:themeColor="text1"/>
          <w:kern w:val="0"/>
          <w:sz w:val="32"/>
          <w:szCs w:val="32"/>
          <w14:textFill>
            <w14:solidFill>
              <w14:schemeClr w14:val="tx1"/>
            </w14:solidFill>
          </w14:textFill>
        </w:rPr>
        <w:t>信用</w:t>
      </w:r>
      <w:r>
        <w:rPr>
          <w:rFonts w:hint="eastAsia" w:ascii="Times New Roman" w:hAnsi="Times New Roman" w:eastAsia="仿宋_GB2312"/>
          <w:color w:val="000000" w:themeColor="text1"/>
          <w:kern w:val="0"/>
          <w:sz w:val="32"/>
          <w:szCs w:val="32"/>
          <w14:textFill>
            <w14:solidFill>
              <w14:schemeClr w14:val="tx1"/>
            </w14:solidFill>
          </w14:textFill>
        </w:rPr>
        <w:t>评价</w:t>
      </w:r>
      <w:r>
        <w:rPr>
          <w:rFonts w:ascii="Times New Roman" w:hAnsi="Times New Roman" w:eastAsia="仿宋_GB2312"/>
          <w:color w:val="000000" w:themeColor="text1"/>
          <w:kern w:val="0"/>
          <w:sz w:val="32"/>
          <w:szCs w:val="32"/>
          <w14:textFill>
            <w14:solidFill>
              <w14:schemeClr w14:val="tx1"/>
            </w14:solidFill>
          </w14:textFill>
        </w:rPr>
        <w:t>以来，</w:t>
      </w:r>
      <w:r>
        <w:rPr>
          <w:rFonts w:ascii="Times New Roman" w:hAnsi="Times New Roman" w:eastAsia="仿宋_GB2312"/>
          <w:color w:val="000000" w:themeColor="text1"/>
          <w:kern w:val="0"/>
          <w:sz w:val="32"/>
          <w:szCs w:val="32"/>
          <w:lang w:val="zh-TW"/>
          <w14:textFill>
            <w14:solidFill>
              <w14:schemeClr w14:val="tx1"/>
            </w14:solidFill>
          </w14:textFill>
        </w:rPr>
        <w:t>全市</w:t>
      </w:r>
      <w:r>
        <w:rPr>
          <w:rFonts w:ascii="Times New Roman" w:hAnsi="Times New Roman" w:eastAsia="仿宋_GB2312"/>
          <w:color w:val="000000" w:themeColor="text1"/>
          <w:kern w:val="0"/>
          <w:sz w:val="32"/>
          <w:szCs w:val="32"/>
          <w14:textFill>
            <w14:solidFill>
              <w14:schemeClr w14:val="tx1"/>
            </w14:solidFill>
          </w14:textFill>
        </w:rPr>
        <w:t>连续7年信用等级保持</w:t>
      </w:r>
      <w:r>
        <w:rPr>
          <w:rFonts w:hint="eastAsia" w:ascii="仿宋_GB2312" w:hAnsi="Times New Roman" w:eastAsia="仿宋_GB2312"/>
          <w:color w:val="000000" w:themeColor="text1"/>
          <w:kern w:val="0"/>
          <w:sz w:val="32"/>
          <w:szCs w:val="32"/>
          <w14:textFill>
            <w14:solidFill>
              <w14:schemeClr w14:val="tx1"/>
            </w14:solidFill>
          </w14:textFill>
        </w:rPr>
        <w:t>“优质”</w:t>
      </w:r>
      <w:r>
        <w:rPr>
          <w:rFonts w:ascii="Times New Roman" w:hAnsi="Times New Roman" w:eastAsia="仿宋_GB2312"/>
          <w:color w:val="000000" w:themeColor="text1"/>
          <w:kern w:val="0"/>
          <w:sz w:val="32"/>
          <w:szCs w:val="32"/>
          <w14:textFill>
            <w14:solidFill>
              <w14:schemeClr w14:val="tx1"/>
            </w14:solidFill>
          </w14:textFill>
        </w:rPr>
        <w:t>的中介机构有3家（见表</w:t>
      </w:r>
      <w:r>
        <w:rPr>
          <w:rFonts w:hint="eastAsia" w:ascii="Times New Roman" w:hAnsi="Times New Roman" w:eastAsia="仿宋_GB2312"/>
          <w:color w:val="000000" w:themeColor="text1"/>
          <w:kern w:val="0"/>
          <w:sz w:val="32"/>
          <w:szCs w:val="32"/>
          <w14:textFill>
            <w14:solidFill>
              <w14:schemeClr w14:val="tx1"/>
            </w14:solidFill>
          </w14:textFill>
        </w:rPr>
        <w:t>5</w:t>
      </w:r>
      <w:r>
        <w:rPr>
          <w:rFonts w:ascii="Times New Roman" w:hAnsi="Times New Roman" w:eastAsia="仿宋_GB2312"/>
          <w:color w:val="000000" w:themeColor="text1"/>
          <w:kern w:val="0"/>
          <w:sz w:val="32"/>
          <w:szCs w:val="32"/>
          <w14:textFill>
            <w14:solidFill>
              <w14:schemeClr w14:val="tx1"/>
            </w14:solidFill>
          </w14:textFill>
        </w:rPr>
        <w:t>）</w:t>
      </w: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此外，</w:t>
      </w:r>
      <w:r>
        <w:rPr>
          <w:rFonts w:ascii="Times New Roman" w:hAnsi="Times New Roman" w:eastAsia="仿宋_GB2312"/>
          <w:color w:val="000000" w:themeColor="text1"/>
          <w:kern w:val="0"/>
          <w:sz w:val="32"/>
          <w:szCs w:val="32"/>
          <w:lang w:val="zh-TW"/>
          <w14:textFill>
            <w14:solidFill>
              <w14:schemeClr w14:val="tx1"/>
            </w14:solidFill>
          </w14:textFill>
        </w:rPr>
        <w:t>有</w:t>
      </w:r>
      <w:r>
        <w:rPr>
          <w:rFonts w:ascii="Times New Roman" w:hAnsi="Times New Roman" w:eastAsia="仿宋_GB2312"/>
          <w:color w:val="000000" w:themeColor="text1"/>
          <w:kern w:val="0"/>
          <w:sz w:val="32"/>
          <w:szCs w:val="32"/>
          <w14:textFill>
            <w14:solidFill>
              <w14:schemeClr w14:val="tx1"/>
            </w14:solidFill>
          </w14:textFill>
        </w:rPr>
        <w:t>2</w:t>
      </w:r>
      <w:r>
        <w:rPr>
          <w:rFonts w:ascii="Times New Roman" w:hAnsi="Times New Roman" w:eastAsia="仿宋_GB2312"/>
          <w:color w:val="000000" w:themeColor="text1"/>
          <w:kern w:val="0"/>
          <w:sz w:val="32"/>
          <w:szCs w:val="32"/>
          <w:lang w:val="zh-TW"/>
          <w14:textFill>
            <w14:solidFill>
              <w14:schemeClr w14:val="tx1"/>
            </w14:solidFill>
          </w14:textFill>
        </w:rPr>
        <w:t>家中介机构</w:t>
      </w:r>
      <w:r>
        <w:rPr>
          <w:rFonts w:hint="eastAsia" w:ascii="Times New Roman" w:hAnsi="Times New Roman" w:eastAsia="仿宋_GB2312"/>
          <w:color w:val="000000" w:themeColor="text1"/>
          <w:kern w:val="0"/>
          <w:sz w:val="32"/>
          <w:szCs w:val="32"/>
          <w14:textFill>
            <w14:solidFill>
              <w14:schemeClr w14:val="tx1"/>
            </w14:solidFill>
          </w14:textFill>
        </w:rPr>
        <w:t>近</w:t>
      </w:r>
      <w:r>
        <w:rPr>
          <w:rFonts w:ascii="Times New Roman" w:hAnsi="Times New Roman" w:eastAsia="仿宋_GB2312"/>
          <w:color w:val="000000" w:themeColor="text1"/>
          <w:kern w:val="0"/>
          <w:sz w:val="32"/>
          <w:szCs w:val="32"/>
          <w:lang w:val="zh-TW"/>
          <w14:textFill>
            <w14:solidFill>
              <w14:schemeClr w14:val="tx1"/>
            </w14:solidFill>
          </w14:textFill>
        </w:rPr>
        <w:t>5年信用等级连续保持</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lang w:val="zh-TW"/>
          <w14:textFill>
            <w14:solidFill>
              <w14:schemeClr w14:val="tx1"/>
            </w14:solidFill>
          </w14:textFill>
        </w:rPr>
        <w:t>（见表</w:t>
      </w:r>
      <w:r>
        <w:rPr>
          <w:rFonts w:hint="eastAsia" w:ascii="Times New Roman" w:hAnsi="Times New Roman" w:eastAsia="仿宋_GB2312"/>
          <w:color w:val="000000" w:themeColor="text1"/>
          <w:kern w:val="0"/>
          <w:sz w:val="32"/>
          <w:szCs w:val="32"/>
          <w14:textFill>
            <w14:solidFill>
              <w14:schemeClr w14:val="tx1"/>
            </w14:solidFill>
          </w14:textFill>
        </w:rPr>
        <w:t>6</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近</w:t>
      </w:r>
      <w:r>
        <w:rPr>
          <w:rFonts w:ascii="Times New Roman" w:hAnsi="Times New Roman" w:eastAsia="仿宋_GB2312"/>
          <w:color w:val="000000" w:themeColor="text1"/>
          <w:kern w:val="0"/>
          <w:sz w:val="32"/>
          <w:szCs w:val="32"/>
          <w:lang w:val="zh-TW"/>
          <w14:textFill>
            <w14:solidFill>
              <w14:schemeClr w14:val="tx1"/>
            </w14:solidFill>
          </w14:textFill>
        </w:rPr>
        <w:t>3年信用等级连续</w:t>
      </w:r>
      <w:r>
        <w:rPr>
          <w:rFonts w:hint="eastAsia" w:ascii="Times New Roman" w:hAnsi="Times New Roman" w:eastAsia="仿宋_GB2312"/>
          <w:color w:val="000000" w:themeColor="text1"/>
          <w:kern w:val="0"/>
          <w:sz w:val="32"/>
          <w:szCs w:val="32"/>
          <w:lang w:val="zh-TW"/>
          <w14:textFill>
            <w14:solidFill>
              <w14:schemeClr w14:val="tx1"/>
            </w14:solidFill>
          </w14:textFill>
        </w:rPr>
        <w:t>保持</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14:textFill>
            <w14:solidFill>
              <w14:schemeClr w14:val="tx1"/>
            </w14:solidFill>
          </w14:textFill>
        </w:rPr>
        <w:t>的</w:t>
      </w:r>
      <w:r>
        <w:rPr>
          <w:rFonts w:ascii="Times New Roman" w:hAnsi="Times New Roman" w:eastAsia="仿宋_GB2312"/>
          <w:color w:val="000000" w:themeColor="text1"/>
          <w:kern w:val="0"/>
          <w:sz w:val="32"/>
          <w:szCs w:val="32"/>
          <w:lang w:val="zh-TW"/>
          <w14:textFill>
            <w14:solidFill>
              <w14:schemeClr w14:val="tx1"/>
            </w14:solidFill>
          </w14:textFill>
        </w:rPr>
        <w:t>中介机构</w:t>
      </w:r>
      <w:r>
        <w:rPr>
          <w:rFonts w:ascii="Times New Roman" w:hAnsi="Times New Roman" w:eastAsia="仿宋_GB2312"/>
          <w:color w:val="000000" w:themeColor="text1"/>
          <w:kern w:val="0"/>
          <w:sz w:val="32"/>
          <w:szCs w:val="32"/>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4家（见表</w:t>
      </w:r>
      <w:r>
        <w:rPr>
          <w:rFonts w:hint="eastAsia" w:ascii="Times New Roman" w:hAnsi="Times New Roman" w:eastAsia="仿宋_GB2312"/>
          <w:color w:val="000000" w:themeColor="text1"/>
          <w:kern w:val="0"/>
          <w:sz w:val="32"/>
          <w:szCs w:val="32"/>
          <w14:textFill>
            <w14:solidFill>
              <w14:schemeClr w14:val="tx1"/>
            </w14:solidFill>
          </w14:textFill>
        </w:rPr>
        <w:t>7</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有13家中介机构</w:t>
      </w:r>
      <w:r>
        <w:rPr>
          <w:rFonts w:hint="eastAsia" w:ascii="Times New Roman" w:hAnsi="Times New Roman" w:eastAsia="仿宋_GB2312"/>
          <w:color w:val="000000" w:themeColor="text1"/>
          <w:kern w:val="0"/>
          <w:sz w:val="32"/>
          <w:szCs w:val="32"/>
          <w14:textFill>
            <w14:solidFill>
              <w14:schemeClr w14:val="tx1"/>
            </w14:solidFill>
          </w14:textFill>
        </w:rPr>
        <w:t>近</w:t>
      </w:r>
      <w:r>
        <w:rPr>
          <w:rFonts w:ascii="Times New Roman" w:hAnsi="Times New Roman" w:eastAsia="仿宋_GB2312"/>
          <w:color w:val="000000" w:themeColor="text1"/>
          <w:kern w:val="0"/>
          <w:sz w:val="32"/>
          <w:szCs w:val="32"/>
          <w:lang w:val="zh-TW"/>
          <w14:textFill>
            <w14:solidFill>
              <w14:schemeClr w14:val="tx1"/>
            </w14:solidFill>
          </w14:textFill>
        </w:rPr>
        <w:t>3年的信用等级连续为</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良好</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及以上</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见表</w:t>
      </w:r>
      <w:r>
        <w:rPr>
          <w:rFonts w:hint="eastAsia" w:ascii="Times New Roman" w:hAnsi="Times New Roman" w:eastAsia="仿宋_GB2312"/>
          <w:color w:val="000000" w:themeColor="text1"/>
          <w:kern w:val="0"/>
          <w:sz w:val="32"/>
          <w:szCs w:val="32"/>
          <w14:textFill>
            <w14:solidFill>
              <w14:schemeClr w14:val="tx1"/>
            </w14:solidFill>
          </w14:textFill>
        </w:rPr>
        <w:t>8</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w:t>
      </w:r>
    </w:p>
    <w:p w14:paraId="7BE21A15">
      <w:pPr>
        <w:jc w:val="center"/>
        <w:rPr>
          <w:rFonts w:ascii="Times New Roman" w:hAnsi="Times New Roman"/>
          <w:sz w:val="24"/>
        </w:rPr>
      </w:pPr>
      <w:r>
        <w:rPr>
          <w:rFonts w:ascii="Times New Roman" w:hAnsi="Times New Roman"/>
          <w:sz w:val="24"/>
        </w:rPr>
        <w:t>表</w:t>
      </w:r>
      <w:r>
        <w:rPr>
          <w:rFonts w:hint="eastAsia" w:ascii="Times New Roman" w:hAnsi="Times New Roman"/>
          <w:sz w:val="24"/>
        </w:rPr>
        <w:t>5</w:t>
      </w:r>
      <w:r>
        <w:rPr>
          <w:rFonts w:ascii="Times New Roman" w:hAnsi="Times New Roman"/>
          <w:sz w:val="24"/>
        </w:rPr>
        <w:t xml:space="preserve">  2018年-2024年信用等级连续7年为</w:t>
      </w:r>
      <w:r>
        <w:rPr>
          <w:rFonts w:hint="eastAsia" w:ascii="Times New Roman" w:hAnsi="Times New Roman"/>
          <w:sz w:val="24"/>
        </w:rPr>
        <w:t>“</w:t>
      </w:r>
      <w:r>
        <w:rPr>
          <w:rFonts w:ascii="Times New Roman" w:hAnsi="Times New Roman"/>
          <w:sz w:val="24"/>
        </w:rPr>
        <w:t>优质</w:t>
      </w:r>
      <w:r>
        <w:rPr>
          <w:rFonts w:hint="eastAsia" w:ascii="Times New Roman" w:hAnsi="Times New Roman"/>
          <w:sz w:val="24"/>
        </w:rPr>
        <w:t>”</w:t>
      </w:r>
      <w:r>
        <w:rPr>
          <w:rFonts w:ascii="Times New Roman" w:hAnsi="Times New Roman"/>
          <w:sz w:val="24"/>
        </w:rPr>
        <w:t>的中介机构（共3家）</w:t>
      </w:r>
    </w:p>
    <w:tbl>
      <w:tblPr>
        <w:tblStyle w:val="19"/>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8187"/>
      </w:tblGrid>
      <w:tr w14:paraId="6156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dxa"/>
            <w:shd w:val="clear" w:color="auto" w:fill="FFFFFF"/>
            <w:vAlign w:val="center"/>
          </w:tcPr>
          <w:p w14:paraId="52F8C8DE">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序号</w:t>
            </w:r>
          </w:p>
        </w:tc>
        <w:tc>
          <w:tcPr>
            <w:tcW w:w="8187" w:type="dxa"/>
            <w:shd w:val="clear" w:color="auto" w:fill="FFFFFF"/>
            <w:vAlign w:val="center"/>
          </w:tcPr>
          <w:p w14:paraId="5E670F55">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中介机构名称</w:t>
            </w:r>
          </w:p>
        </w:tc>
      </w:tr>
      <w:tr w14:paraId="45AA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dxa"/>
            <w:shd w:val="clear" w:color="auto" w:fill="FFFFFF"/>
            <w:vAlign w:val="center"/>
          </w:tcPr>
          <w:p w14:paraId="00B34518">
            <w:pPr>
              <w:jc w:val="center"/>
              <w:rPr>
                <w:rFonts w:ascii="Times New Roman" w:hAnsi="Times New Roman"/>
                <w:color w:val="000000"/>
                <w:sz w:val="24"/>
              </w:rPr>
            </w:pPr>
            <w:r>
              <w:rPr>
                <w:rFonts w:ascii="Times New Roman" w:hAnsi="Times New Roman"/>
                <w:color w:val="000000"/>
                <w:sz w:val="24"/>
              </w:rPr>
              <w:t>1</w:t>
            </w:r>
          </w:p>
        </w:tc>
        <w:tc>
          <w:tcPr>
            <w:tcW w:w="8187" w:type="dxa"/>
            <w:shd w:val="clear" w:color="auto" w:fill="FFFFFF"/>
            <w:vAlign w:val="center"/>
          </w:tcPr>
          <w:p w14:paraId="29638BB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广东链家房地产经纪有限公司</w:t>
            </w:r>
          </w:p>
        </w:tc>
      </w:tr>
      <w:tr w14:paraId="21B3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dxa"/>
            <w:shd w:val="clear" w:color="auto" w:fill="FFFFFF"/>
            <w:vAlign w:val="center"/>
          </w:tcPr>
          <w:p w14:paraId="14C23232">
            <w:pPr>
              <w:jc w:val="center"/>
              <w:rPr>
                <w:rFonts w:ascii="Times New Roman" w:hAnsi="Times New Roman"/>
                <w:color w:val="000000"/>
                <w:sz w:val="24"/>
              </w:rPr>
            </w:pPr>
            <w:r>
              <w:rPr>
                <w:rFonts w:ascii="Times New Roman" w:hAnsi="Times New Roman"/>
                <w:color w:val="000000"/>
                <w:sz w:val="24"/>
              </w:rPr>
              <w:t>2</w:t>
            </w:r>
          </w:p>
        </w:tc>
        <w:tc>
          <w:tcPr>
            <w:tcW w:w="8187" w:type="dxa"/>
            <w:shd w:val="clear" w:color="auto" w:fill="FFFFFF"/>
            <w:vAlign w:val="center"/>
          </w:tcPr>
          <w:p w14:paraId="6C43991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广东合富房地产置业有限公司</w:t>
            </w:r>
          </w:p>
        </w:tc>
      </w:tr>
      <w:tr w14:paraId="0512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dxa"/>
            <w:shd w:val="clear" w:color="auto" w:fill="FFFFFF"/>
            <w:vAlign w:val="center"/>
          </w:tcPr>
          <w:p w14:paraId="5F345070">
            <w:pPr>
              <w:jc w:val="center"/>
              <w:rPr>
                <w:rFonts w:ascii="Times New Roman" w:hAnsi="Times New Roman"/>
                <w:color w:val="000000"/>
                <w:sz w:val="24"/>
              </w:rPr>
            </w:pPr>
            <w:r>
              <w:rPr>
                <w:rFonts w:ascii="Times New Roman" w:hAnsi="Times New Roman"/>
                <w:color w:val="000000"/>
                <w:sz w:val="24"/>
              </w:rPr>
              <w:t>3</w:t>
            </w:r>
          </w:p>
        </w:tc>
        <w:tc>
          <w:tcPr>
            <w:tcW w:w="8187" w:type="dxa"/>
            <w:shd w:val="clear" w:color="auto" w:fill="FFFFFF"/>
            <w:vAlign w:val="center"/>
          </w:tcPr>
          <w:p w14:paraId="6CEC09E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广州市置家房地产代理有限公司</w:t>
            </w:r>
          </w:p>
        </w:tc>
      </w:tr>
    </w:tbl>
    <w:p w14:paraId="243BB07C">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0D7A1DD3">
      <w:pPr>
        <w:jc w:val="center"/>
        <w:rPr>
          <w:rFonts w:ascii="Times New Roman" w:hAnsi="Times New Roman"/>
          <w:sz w:val="24"/>
        </w:rPr>
      </w:pPr>
    </w:p>
    <w:p w14:paraId="19645E0D">
      <w:pPr>
        <w:jc w:val="center"/>
        <w:rPr>
          <w:rFonts w:ascii="Times New Roman" w:hAnsi="Times New Roman"/>
          <w:sz w:val="24"/>
        </w:rPr>
      </w:pPr>
    </w:p>
    <w:p w14:paraId="45220200">
      <w:pPr>
        <w:jc w:val="center"/>
        <w:rPr>
          <w:rFonts w:ascii="Times New Roman" w:hAnsi="Times New Roman"/>
          <w:sz w:val="24"/>
        </w:rPr>
      </w:pPr>
    </w:p>
    <w:p w14:paraId="4EBDAE74">
      <w:pPr>
        <w:jc w:val="center"/>
        <w:rPr>
          <w:rFonts w:ascii="Times New Roman" w:hAnsi="Times New Roman"/>
          <w:sz w:val="24"/>
        </w:rPr>
      </w:pPr>
      <w:r>
        <w:rPr>
          <w:rFonts w:ascii="Times New Roman" w:hAnsi="Times New Roman"/>
          <w:sz w:val="24"/>
        </w:rPr>
        <w:t>表</w:t>
      </w:r>
      <w:r>
        <w:rPr>
          <w:rFonts w:hint="eastAsia" w:ascii="Times New Roman" w:hAnsi="Times New Roman"/>
          <w:sz w:val="24"/>
        </w:rPr>
        <w:t>6</w:t>
      </w:r>
      <w:r>
        <w:rPr>
          <w:rFonts w:ascii="Times New Roman" w:hAnsi="Times New Roman"/>
          <w:sz w:val="24"/>
        </w:rPr>
        <w:t xml:space="preserve">  2020</w:t>
      </w:r>
      <w:r>
        <w:rPr>
          <w:rFonts w:hint="eastAsia" w:ascii="Times New Roman" w:hAnsi="Times New Roman"/>
          <w:sz w:val="24"/>
        </w:rPr>
        <w:t>年</w:t>
      </w:r>
      <w:r>
        <w:rPr>
          <w:rFonts w:ascii="Times New Roman" w:hAnsi="Times New Roman"/>
          <w:sz w:val="24"/>
        </w:rPr>
        <w:t>-2024年信用等级连续5年为</w:t>
      </w:r>
      <w:r>
        <w:rPr>
          <w:rFonts w:hint="eastAsia" w:ascii="Times New Roman" w:hAnsi="Times New Roman"/>
          <w:sz w:val="24"/>
        </w:rPr>
        <w:t>“</w:t>
      </w:r>
      <w:r>
        <w:rPr>
          <w:rFonts w:ascii="Times New Roman" w:hAnsi="Times New Roman"/>
          <w:sz w:val="24"/>
        </w:rPr>
        <w:t>优质</w:t>
      </w:r>
      <w:r>
        <w:rPr>
          <w:rFonts w:hint="eastAsia" w:ascii="Times New Roman" w:hAnsi="Times New Roman"/>
          <w:sz w:val="24"/>
        </w:rPr>
        <w:t>”</w:t>
      </w:r>
      <w:r>
        <w:rPr>
          <w:rFonts w:ascii="Times New Roman" w:hAnsi="Times New Roman"/>
          <w:sz w:val="24"/>
        </w:rPr>
        <w:t>的中介机构（共2家）</w:t>
      </w:r>
    </w:p>
    <w:tbl>
      <w:tblPr>
        <w:tblStyle w:val="19"/>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8187"/>
      </w:tblGrid>
      <w:tr w14:paraId="53F1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dxa"/>
            <w:shd w:val="clear" w:color="auto" w:fill="FFFFFF"/>
            <w:vAlign w:val="center"/>
          </w:tcPr>
          <w:p w14:paraId="299E6AF0">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序号</w:t>
            </w:r>
          </w:p>
        </w:tc>
        <w:tc>
          <w:tcPr>
            <w:tcW w:w="8187" w:type="dxa"/>
            <w:shd w:val="clear" w:color="auto" w:fill="FFFFFF"/>
            <w:vAlign w:val="center"/>
          </w:tcPr>
          <w:p w14:paraId="17261183">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中介机构名称</w:t>
            </w:r>
          </w:p>
        </w:tc>
      </w:tr>
      <w:tr w14:paraId="5131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dxa"/>
            <w:shd w:val="clear" w:color="auto" w:fill="FFFFFF"/>
            <w:vAlign w:val="center"/>
          </w:tcPr>
          <w:p w14:paraId="235F0C98">
            <w:pPr>
              <w:jc w:val="center"/>
              <w:rPr>
                <w:rFonts w:ascii="Times New Roman" w:hAnsi="Times New Roman"/>
                <w:color w:val="000000"/>
                <w:sz w:val="24"/>
              </w:rPr>
            </w:pPr>
            <w:r>
              <w:rPr>
                <w:rFonts w:ascii="Times New Roman" w:hAnsi="Times New Roman"/>
                <w:color w:val="000000"/>
                <w:sz w:val="24"/>
              </w:rPr>
              <w:t>1</w:t>
            </w:r>
          </w:p>
        </w:tc>
        <w:tc>
          <w:tcPr>
            <w:tcW w:w="8187" w:type="dxa"/>
            <w:shd w:val="clear" w:color="auto" w:fill="FFFFFF"/>
            <w:vAlign w:val="center"/>
          </w:tcPr>
          <w:p w14:paraId="2B75D36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广州市乐有家房产经纪有限公司</w:t>
            </w:r>
          </w:p>
        </w:tc>
      </w:tr>
      <w:tr w14:paraId="7066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9" w:type="dxa"/>
            <w:shd w:val="clear" w:color="auto" w:fill="FFFFFF"/>
            <w:vAlign w:val="center"/>
          </w:tcPr>
          <w:p w14:paraId="60E5BB2C">
            <w:pPr>
              <w:jc w:val="center"/>
              <w:rPr>
                <w:rFonts w:ascii="Times New Roman" w:hAnsi="Times New Roman"/>
                <w:color w:val="000000"/>
                <w:sz w:val="24"/>
              </w:rPr>
            </w:pPr>
            <w:r>
              <w:rPr>
                <w:rFonts w:ascii="Times New Roman" w:hAnsi="Times New Roman"/>
                <w:color w:val="000000"/>
                <w:sz w:val="24"/>
              </w:rPr>
              <w:t>2</w:t>
            </w:r>
          </w:p>
        </w:tc>
        <w:tc>
          <w:tcPr>
            <w:tcW w:w="8187" w:type="dxa"/>
            <w:shd w:val="clear" w:color="auto" w:fill="FFFFFF"/>
            <w:vAlign w:val="center"/>
          </w:tcPr>
          <w:p w14:paraId="3BE5B85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广州明昇房地产销售代理有限公司</w:t>
            </w:r>
          </w:p>
        </w:tc>
      </w:tr>
    </w:tbl>
    <w:p w14:paraId="6AA2C830">
      <w:pPr>
        <w:spacing w:line="360" w:lineRule="auto"/>
        <w:jc w:val="right"/>
        <w:rPr>
          <w:rFonts w:ascii="Times New Roman" w:hAnsi="Times New Roman"/>
          <w:color w:val="000000" w:themeColor="text1"/>
          <w:szCs w:val="21"/>
          <w14:textFill>
            <w14:solidFill>
              <w14:schemeClr w14:val="tx1"/>
            </w14:solidFill>
          </w14:textFill>
        </w:rPr>
      </w:pPr>
      <w:bookmarkStart w:id="45" w:name="OLE_LINK46"/>
      <w:r>
        <w:rPr>
          <w:rFonts w:ascii="Times New Roman" w:hAnsi="Times New Roman"/>
          <w:color w:val="000000" w:themeColor="text1"/>
          <w:szCs w:val="21"/>
          <w14:textFill>
            <w14:solidFill>
              <w14:schemeClr w14:val="tx1"/>
            </w14:solidFill>
          </w14:textFill>
        </w:rPr>
        <w:t>数据来源：广州市房地产中介协会</w:t>
      </w:r>
    </w:p>
    <w:bookmarkEnd w:id="45"/>
    <w:p w14:paraId="424C3996">
      <w:pPr>
        <w:jc w:val="center"/>
        <w:rPr>
          <w:rFonts w:ascii="Times New Roman" w:hAnsi="Times New Roman"/>
          <w:sz w:val="24"/>
        </w:rPr>
      </w:pPr>
      <w:r>
        <w:rPr>
          <w:rFonts w:ascii="Times New Roman" w:hAnsi="Times New Roman"/>
          <w:sz w:val="24"/>
        </w:rPr>
        <w:t>表</w:t>
      </w:r>
      <w:r>
        <w:rPr>
          <w:rFonts w:hint="eastAsia" w:ascii="Times New Roman" w:hAnsi="Times New Roman"/>
          <w:sz w:val="24"/>
        </w:rPr>
        <w:t>7</w:t>
      </w:r>
      <w:r>
        <w:rPr>
          <w:rFonts w:ascii="Times New Roman" w:hAnsi="Times New Roman"/>
          <w:sz w:val="24"/>
        </w:rPr>
        <w:t xml:space="preserve">  2022</w:t>
      </w:r>
      <w:r>
        <w:rPr>
          <w:rFonts w:hint="eastAsia" w:ascii="Times New Roman" w:hAnsi="Times New Roman"/>
          <w:sz w:val="24"/>
        </w:rPr>
        <w:t>年</w:t>
      </w:r>
      <w:r>
        <w:rPr>
          <w:rFonts w:ascii="Times New Roman" w:hAnsi="Times New Roman"/>
          <w:sz w:val="24"/>
        </w:rPr>
        <w:t>-2024年信用等级连续3年为</w:t>
      </w:r>
      <w:r>
        <w:rPr>
          <w:rFonts w:hint="eastAsia" w:ascii="Times New Roman" w:hAnsi="Times New Roman"/>
          <w:sz w:val="24"/>
        </w:rPr>
        <w:t>“</w:t>
      </w:r>
      <w:r>
        <w:rPr>
          <w:rFonts w:ascii="Times New Roman" w:hAnsi="Times New Roman"/>
          <w:sz w:val="24"/>
        </w:rPr>
        <w:t>优质</w:t>
      </w:r>
      <w:r>
        <w:rPr>
          <w:rFonts w:hint="eastAsia" w:ascii="Times New Roman" w:hAnsi="Times New Roman"/>
          <w:sz w:val="24"/>
        </w:rPr>
        <w:t>”</w:t>
      </w:r>
      <w:r>
        <w:rPr>
          <w:rFonts w:ascii="Times New Roman" w:hAnsi="Times New Roman"/>
          <w:sz w:val="24"/>
        </w:rPr>
        <w:t>的中介机构（共4家）</w:t>
      </w:r>
    </w:p>
    <w:tbl>
      <w:tblPr>
        <w:tblStyle w:val="19"/>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4012"/>
        <w:gridCol w:w="1418"/>
        <w:gridCol w:w="1417"/>
        <w:gridCol w:w="1365"/>
      </w:tblGrid>
      <w:tr w14:paraId="0897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shd w:val="clear" w:color="auto" w:fill="FFFFFF"/>
            <w:vAlign w:val="center"/>
          </w:tcPr>
          <w:p w14:paraId="021E7324">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序号</w:t>
            </w:r>
          </w:p>
        </w:tc>
        <w:tc>
          <w:tcPr>
            <w:tcW w:w="4012" w:type="dxa"/>
            <w:shd w:val="clear" w:color="auto" w:fill="FFFFFF"/>
            <w:vAlign w:val="center"/>
          </w:tcPr>
          <w:p w14:paraId="278FF299">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中介机构名称</w:t>
            </w:r>
          </w:p>
        </w:tc>
        <w:tc>
          <w:tcPr>
            <w:tcW w:w="1418" w:type="dxa"/>
            <w:shd w:val="clear" w:color="auto" w:fill="FFFFFF"/>
            <w:vAlign w:val="center"/>
          </w:tcPr>
          <w:p w14:paraId="1240D22D">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2022年度</w:t>
            </w:r>
          </w:p>
          <w:p w14:paraId="1F2C7AF6">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信用评分</w:t>
            </w:r>
          </w:p>
        </w:tc>
        <w:tc>
          <w:tcPr>
            <w:tcW w:w="1417" w:type="dxa"/>
            <w:shd w:val="clear" w:color="auto" w:fill="FFFFFF"/>
            <w:vAlign w:val="center"/>
          </w:tcPr>
          <w:p w14:paraId="42DA0BC2">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2023年度</w:t>
            </w:r>
          </w:p>
          <w:p w14:paraId="67F5A894">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信用评分</w:t>
            </w:r>
          </w:p>
        </w:tc>
        <w:tc>
          <w:tcPr>
            <w:tcW w:w="1365" w:type="dxa"/>
            <w:shd w:val="clear" w:color="auto" w:fill="FFFFFF"/>
            <w:vAlign w:val="center"/>
          </w:tcPr>
          <w:p w14:paraId="1F272B61">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2024年度</w:t>
            </w:r>
          </w:p>
          <w:p w14:paraId="6CADE7E6">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信用评分</w:t>
            </w:r>
          </w:p>
        </w:tc>
      </w:tr>
      <w:tr w14:paraId="7A0E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shd w:val="clear" w:color="auto" w:fill="FFFFFF"/>
            <w:vAlign w:val="center"/>
          </w:tcPr>
          <w:p w14:paraId="7BFA1650">
            <w:pPr>
              <w:jc w:val="center"/>
              <w:rPr>
                <w:rFonts w:ascii="Times New Roman" w:hAnsi="Times New Roman"/>
                <w:color w:val="000000"/>
                <w:sz w:val="24"/>
              </w:rPr>
            </w:pPr>
            <w:r>
              <w:rPr>
                <w:rFonts w:ascii="Times New Roman" w:hAnsi="Times New Roman"/>
                <w:color w:val="000000"/>
                <w:sz w:val="24"/>
              </w:rPr>
              <w:t>1</w:t>
            </w:r>
          </w:p>
        </w:tc>
        <w:tc>
          <w:tcPr>
            <w:tcW w:w="4012" w:type="dxa"/>
            <w:shd w:val="clear" w:color="auto" w:fill="FFFFFF"/>
            <w:vAlign w:val="center"/>
          </w:tcPr>
          <w:p w14:paraId="49B5455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广东中原地产代理有限公司</w:t>
            </w:r>
          </w:p>
        </w:tc>
        <w:tc>
          <w:tcPr>
            <w:tcW w:w="1418" w:type="dxa"/>
            <w:shd w:val="clear" w:color="auto" w:fill="FFFFFF"/>
            <w:vAlign w:val="center"/>
          </w:tcPr>
          <w:p w14:paraId="2C734CF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118.8</w:t>
            </w:r>
          </w:p>
        </w:tc>
        <w:tc>
          <w:tcPr>
            <w:tcW w:w="1417" w:type="dxa"/>
            <w:shd w:val="clear" w:color="auto" w:fill="FFFFFF"/>
            <w:vAlign w:val="center"/>
          </w:tcPr>
          <w:p w14:paraId="78DCCB0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123.0</w:t>
            </w:r>
          </w:p>
        </w:tc>
        <w:tc>
          <w:tcPr>
            <w:tcW w:w="1365" w:type="dxa"/>
            <w:shd w:val="clear" w:color="auto" w:fill="FFFFFF"/>
            <w:vAlign w:val="center"/>
          </w:tcPr>
          <w:p w14:paraId="5878152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124.1</w:t>
            </w:r>
          </w:p>
        </w:tc>
      </w:tr>
      <w:tr w14:paraId="295A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shd w:val="clear" w:color="auto" w:fill="FFFFFF"/>
            <w:vAlign w:val="center"/>
          </w:tcPr>
          <w:p w14:paraId="0BE77AE8">
            <w:pPr>
              <w:jc w:val="center"/>
              <w:rPr>
                <w:rFonts w:ascii="Times New Roman" w:hAnsi="Times New Roman"/>
                <w:color w:val="000000"/>
                <w:sz w:val="24"/>
              </w:rPr>
            </w:pPr>
            <w:r>
              <w:rPr>
                <w:rFonts w:ascii="Times New Roman" w:hAnsi="Times New Roman"/>
                <w:color w:val="000000"/>
                <w:sz w:val="24"/>
              </w:rPr>
              <w:t>2</w:t>
            </w:r>
          </w:p>
        </w:tc>
        <w:tc>
          <w:tcPr>
            <w:tcW w:w="4012" w:type="dxa"/>
            <w:shd w:val="clear" w:color="auto" w:fill="FFFFFF"/>
            <w:vAlign w:val="center"/>
          </w:tcPr>
          <w:p w14:paraId="39BBD45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广州市宜居房地产代理有限公司</w:t>
            </w:r>
          </w:p>
        </w:tc>
        <w:tc>
          <w:tcPr>
            <w:tcW w:w="1418" w:type="dxa"/>
            <w:shd w:val="clear" w:color="auto" w:fill="FFFFFF"/>
            <w:vAlign w:val="center"/>
          </w:tcPr>
          <w:p w14:paraId="7F61032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102.4</w:t>
            </w:r>
          </w:p>
        </w:tc>
        <w:tc>
          <w:tcPr>
            <w:tcW w:w="1417" w:type="dxa"/>
            <w:shd w:val="clear" w:color="auto" w:fill="FFFFFF"/>
            <w:vAlign w:val="center"/>
          </w:tcPr>
          <w:p w14:paraId="1E9DDB2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104.2</w:t>
            </w:r>
          </w:p>
        </w:tc>
        <w:tc>
          <w:tcPr>
            <w:tcW w:w="1365" w:type="dxa"/>
            <w:shd w:val="clear" w:color="auto" w:fill="FFFFFF"/>
            <w:vAlign w:val="center"/>
          </w:tcPr>
          <w:p w14:paraId="6D6C706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102.2</w:t>
            </w:r>
          </w:p>
        </w:tc>
      </w:tr>
      <w:tr w14:paraId="3F91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shd w:val="clear" w:color="auto" w:fill="FFFFFF"/>
            <w:vAlign w:val="center"/>
          </w:tcPr>
          <w:p w14:paraId="18857D1B">
            <w:pPr>
              <w:jc w:val="center"/>
              <w:rPr>
                <w:rFonts w:ascii="Times New Roman" w:hAnsi="Times New Roman"/>
                <w:color w:val="000000"/>
                <w:sz w:val="24"/>
              </w:rPr>
            </w:pPr>
            <w:r>
              <w:rPr>
                <w:rFonts w:ascii="Times New Roman" w:hAnsi="Times New Roman"/>
                <w:color w:val="000000"/>
                <w:sz w:val="24"/>
              </w:rPr>
              <w:t>3</w:t>
            </w:r>
          </w:p>
        </w:tc>
        <w:tc>
          <w:tcPr>
            <w:tcW w:w="4012" w:type="dxa"/>
            <w:shd w:val="clear" w:color="auto" w:fill="FFFFFF"/>
            <w:vAlign w:val="center"/>
          </w:tcPr>
          <w:p w14:paraId="3CB53C3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广州信礼房地产销售代理有限公司</w:t>
            </w:r>
          </w:p>
        </w:tc>
        <w:tc>
          <w:tcPr>
            <w:tcW w:w="1418" w:type="dxa"/>
            <w:shd w:val="clear" w:color="auto" w:fill="FFFFFF"/>
            <w:vAlign w:val="center"/>
          </w:tcPr>
          <w:p w14:paraId="6EE7A68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108.9</w:t>
            </w:r>
          </w:p>
        </w:tc>
        <w:tc>
          <w:tcPr>
            <w:tcW w:w="1417" w:type="dxa"/>
            <w:shd w:val="clear" w:color="auto" w:fill="FFFFFF"/>
            <w:vAlign w:val="center"/>
          </w:tcPr>
          <w:p w14:paraId="79E3FC3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103.6</w:t>
            </w:r>
          </w:p>
        </w:tc>
        <w:tc>
          <w:tcPr>
            <w:tcW w:w="1365" w:type="dxa"/>
            <w:shd w:val="clear" w:color="auto" w:fill="FFFFFF"/>
            <w:vAlign w:val="center"/>
          </w:tcPr>
          <w:p w14:paraId="5B836D9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101.0</w:t>
            </w:r>
          </w:p>
        </w:tc>
      </w:tr>
      <w:tr w14:paraId="05C2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shd w:val="clear" w:color="auto" w:fill="FFFFFF"/>
            <w:vAlign w:val="center"/>
          </w:tcPr>
          <w:p w14:paraId="791660DE">
            <w:pPr>
              <w:jc w:val="center"/>
              <w:rPr>
                <w:rFonts w:ascii="Times New Roman" w:hAnsi="Times New Roman"/>
                <w:color w:val="000000"/>
                <w:sz w:val="24"/>
              </w:rPr>
            </w:pPr>
            <w:r>
              <w:rPr>
                <w:rFonts w:ascii="Times New Roman" w:hAnsi="Times New Roman"/>
                <w:color w:val="000000"/>
                <w:sz w:val="24"/>
              </w:rPr>
              <w:t>4</w:t>
            </w:r>
          </w:p>
        </w:tc>
        <w:tc>
          <w:tcPr>
            <w:tcW w:w="4012" w:type="dxa"/>
            <w:shd w:val="clear" w:color="auto" w:fill="FFFFFF"/>
            <w:vAlign w:val="center"/>
          </w:tcPr>
          <w:p w14:paraId="1F24462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广州连家地产代理有限公司</w:t>
            </w:r>
          </w:p>
        </w:tc>
        <w:tc>
          <w:tcPr>
            <w:tcW w:w="1418" w:type="dxa"/>
            <w:shd w:val="clear" w:color="auto" w:fill="FFFFFF"/>
            <w:vAlign w:val="center"/>
          </w:tcPr>
          <w:p w14:paraId="494C207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96.3</w:t>
            </w:r>
          </w:p>
        </w:tc>
        <w:tc>
          <w:tcPr>
            <w:tcW w:w="1417" w:type="dxa"/>
            <w:shd w:val="clear" w:color="auto" w:fill="FFFFFF"/>
            <w:vAlign w:val="center"/>
          </w:tcPr>
          <w:p w14:paraId="12689A8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96.1</w:t>
            </w:r>
          </w:p>
        </w:tc>
        <w:tc>
          <w:tcPr>
            <w:tcW w:w="1365" w:type="dxa"/>
            <w:shd w:val="clear" w:color="auto" w:fill="FFFFFF"/>
            <w:vAlign w:val="center"/>
          </w:tcPr>
          <w:p w14:paraId="508FC61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98.2</w:t>
            </w:r>
          </w:p>
        </w:tc>
      </w:tr>
    </w:tbl>
    <w:p w14:paraId="6B0512CA">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78B8438D">
      <w:pPr>
        <w:jc w:val="center"/>
        <w:rPr>
          <w:rFonts w:ascii="Times New Roman" w:hAnsi="Times New Roman"/>
          <w:sz w:val="24"/>
        </w:rPr>
      </w:pPr>
      <w:r>
        <w:rPr>
          <w:rFonts w:ascii="Times New Roman" w:hAnsi="Times New Roman"/>
          <w:sz w:val="24"/>
        </w:rPr>
        <w:t>表</w:t>
      </w:r>
      <w:r>
        <w:rPr>
          <w:rFonts w:hint="eastAsia" w:ascii="Times New Roman" w:hAnsi="Times New Roman"/>
          <w:sz w:val="24"/>
        </w:rPr>
        <w:t>8</w:t>
      </w:r>
      <w:r>
        <w:rPr>
          <w:rFonts w:ascii="Times New Roman" w:hAnsi="Times New Roman"/>
          <w:sz w:val="24"/>
        </w:rPr>
        <w:t xml:space="preserve">  2022</w:t>
      </w:r>
      <w:r>
        <w:rPr>
          <w:rFonts w:hint="eastAsia" w:ascii="Times New Roman" w:hAnsi="Times New Roman"/>
          <w:sz w:val="24"/>
        </w:rPr>
        <w:t>年</w:t>
      </w:r>
      <w:r>
        <w:rPr>
          <w:rFonts w:ascii="Times New Roman" w:hAnsi="Times New Roman"/>
          <w:sz w:val="24"/>
        </w:rPr>
        <w:t>-2024年信用等级连续3年为</w:t>
      </w:r>
      <w:r>
        <w:rPr>
          <w:rFonts w:hint="eastAsia" w:ascii="Times New Roman" w:hAnsi="Times New Roman"/>
          <w:sz w:val="24"/>
        </w:rPr>
        <w:t>“</w:t>
      </w:r>
      <w:r>
        <w:rPr>
          <w:rFonts w:ascii="Times New Roman" w:hAnsi="Times New Roman"/>
          <w:sz w:val="24"/>
        </w:rPr>
        <w:t>良好</w:t>
      </w:r>
      <w:r>
        <w:rPr>
          <w:rFonts w:hint="eastAsia" w:ascii="Times New Roman" w:hAnsi="Times New Roman"/>
          <w:sz w:val="24"/>
        </w:rPr>
        <w:t>”</w:t>
      </w:r>
      <w:r>
        <w:rPr>
          <w:rFonts w:ascii="Times New Roman" w:hAnsi="Times New Roman"/>
          <w:sz w:val="24"/>
        </w:rPr>
        <w:t>及以上的中介机构（共13家）</w:t>
      </w:r>
    </w:p>
    <w:tbl>
      <w:tblPr>
        <w:tblStyle w:val="19"/>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969"/>
        <w:gridCol w:w="1418"/>
        <w:gridCol w:w="1417"/>
        <w:gridCol w:w="1418"/>
      </w:tblGrid>
      <w:tr w14:paraId="11D9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3A8EAD04">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序号</w:t>
            </w:r>
          </w:p>
        </w:tc>
        <w:tc>
          <w:tcPr>
            <w:tcW w:w="3969" w:type="dxa"/>
            <w:shd w:val="clear" w:color="auto" w:fill="FFFFFF"/>
            <w:vAlign w:val="center"/>
          </w:tcPr>
          <w:p w14:paraId="5D3810D7">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中介机构名称</w:t>
            </w:r>
          </w:p>
        </w:tc>
        <w:tc>
          <w:tcPr>
            <w:tcW w:w="1418" w:type="dxa"/>
            <w:shd w:val="clear" w:color="auto" w:fill="FFFFFF"/>
            <w:vAlign w:val="center"/>
          </w:tcPr>
          <w:p w14:paraId="59695131">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2022年度</w:t>
            </w:r>
          </w:p>
          <w:p w14:paraId="1CF955C3">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信用等级</w:t>
            </w:r>
          </w:p>
        </w:tc>
        <w:tc>
          <w:tcPr>
            <w:tcW w:w="1417" w:type="dxa"/>
            <w:shd w:val="clear" w:color="auto" w:fill="FFFFFF"/>
            <w:vAlign w:val="center"/>
          </w:tcPr>
          <w:p w14:paraId="4772D5EC">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2023年度</w:t>
            </w:r>
          </w:p>
          <w:p w14:paraId="4DD7E051">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信用等级</w:t>
            </w:r>
          </w:p>
        </w:tc>
        <w:tc>
          <w:tcPr>
            <w:tcW w:w="1418" w:type="dxa"/>
            <w:shd w:val="clear" w:color="auto" w:fill="FFFFFF"/>
            <w:vAlign w:val="center"/>
          </w:tcPr>
          <w:p w14:paraId="68B45235">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2024年度</w:t>
            </w:r>
          </w:p>
          <w:p w14:paraId="41DAA47B">
            <w:pPr>
              <w:jc w:val="center"/>
              <w:rPr>
                <w:rFonts w:ascii="Times New Roman" w:hAnsi="Times New Roman" w:eastAsia="仿宋"/>
                <w:b/>
                <w:color w:val="000000" w:themeColor="text1"/>
                <w:sz w:val="22"/>
                <w:szCs w:val="21"/>
                <w14:textFill>
                  <w14:solidFill>
                    <w14:schemeClr w14:val="tx1"/>
                  </w14:solidFill>
                </w14:textFill>
              </w:rPr>
            </w:pPr>
            <w:r>
              <w:rPr>
                <w:rFonts w:ascii="Times New Roman" w:hAnsi="Times New Roman" w:eastAsia="仿宋"/>
                <w:b/>
                <w:color w:val="000000" w:themeColor="text1"/>
                <w:sz w:val="22"/>
                <w:szCs w:val="21"/>
                <w14:textFill>
                  <w14:solidFill>
                    <w14:schemeClr w14:val="tx1"/>
                  </w14:solidFill>
                </w14:textFill>
              </w:rPr>
              <w:t>信用等级</w:t>
            </w:r>
          </w:p>
        </w:tc>
      </w:tr>
      <w:tr w14:paraId="5B2F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1599D2DB">
            <w:pPr>
              <w:jc w:val="center"/>
              <w:rPr>
                <w:rFonts w:ascii="Times New Roman" w:hAnsi="Times New Roman"/>
                <w:color w:val="000000"/>
                <w:sz w:val="24"/>
                <w:szCs w:val="24"/>
              </w:rPr>
            </w:pPr>
            <w:r>
              <w:rPr>
                <w:rFonts w:ascii="Times New Roman" w:hAnsi="Times New Roman"/>
                <w:color w:val="000000"/>
                <w:sz w:val="24"/>
              </w:rPr>
              <w:t>1</w:t>
            </w:r>
          </w:p>
        </w:tc>
        <w:tc>
          <w:tcPr>
            <w:tcW w:w="3969" w:type="dxa"/>
            <w:shd w:val="clear" w:color="auto" w:fill="FFFFFF"/>
            <w:vAlign w:val="center"/>
          </w:tcPr>
          <w:p w14:paraId="2C75B3F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广州市智富房地产代理有限公司</w:t>
            </w:r>
          </w:p>
        </w:tc>
        <w:tc>
          <w:tcPr>
            <w:tcW w:w="1418" w:type="dxa"/>
            <w:shd w:val="clear" w:color="auto" w:fill="FFFFFF"/>
            <w:vAlign w:val="center"/>
          </w:tcPr>
          <w:p w14:paraId="345BB17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7" w:type="dxa"/>
            <w:shd w:val="clear" w:color="auto" w:fill="FFFFFF"/>
            <w:vAlign w:val="center"/>
          </w:tcPr>
          <w:p w14:paraId="4709923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3FD32AD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r>
      <w:tr w14:paraId="5D27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42FF6019">
            <w:pPr>
              <w:jc w:val="center"/>
              <w:rPr>
                <w:rFonts w:ascii="Times New Roman" w:hAnsi="Times New Roman"/>
                <w:color w:val="000000"/>
                <w:sz w:val="24"/>
                <w:szCs w:val="24"/>
              </w:rPr>
            </w:pPr>
            <w:r>
              <w:rPr>
                <w:rFonts w:ascii="Times New Roman" w:hAnsi="Times New Roman"/>
                <w:color w:val="000000"/>
                <w:sz w:val="24"/>
              </w:rPr>
              <w:t>2</w:t>
            </w:r>
          </w:p>
        </w:tc>
        <w:tc>
          <w:tcPr>
            <w:tcW w:w="3969" w:type="dxa"/>
            <w:shd w:val="clear" w:color="auto" w:fill="FFFFFF"/>
            <w:vAlign w:val="center"/>
          </w:tcPr>
          <w:p w14:paraId="33C5789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广州市添房置业有限公司</w:t>
            </w:r>
          </w:p>
        </w:tc>
        <w:tc>
          <w:tcPr>
            <w:tcW w:w="1418" w:type="dxa"/>
            <w:shd w:val="clear" w:color="auto" w:fill="FFFFFF"/>
            <w:vAlign w:val="center"/>
          </w:tcPr>
          <w:p w14:paraId="46C8156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7" w:type="dxa"/>
            <w:shd w:val="clear" w:color="auto" w:fill="FFFFFF"/>
            <w:vAlign w:val="center"/>
          </w:tcPr>
          <w:p w14:paraId="74619D5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0379205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r>
      <w:tr w14:paraId="63D8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0480D924">
            <w:pPr>
              <w:jc w:val="center"/>
              <w:rPr>
                <w:rFonts w:ascii="Times New Roman" w:hAnsi="Times New Roman"/>
                <w:color w:val="000000"/>
                <w:sz w:val="24"/>
                <w:szCs w:val="24"/>
              </w:rPr>
            </w:pPr>
            <w:r>
              <w:rPr>
                <w:rFonts w:ascii="Times New Roman" w:hAnsi="Times New Roman"/>
                <w:color w:val="000000"/>
                <w:sz w:val="24"/>
              </w:rPr>
              <w:t>3</w:t>
            </w:r>
          </w:p>
        </w:tc>
        <w:tc>
          <w:tcPr>
            <w:tcW w:w="3969" w:type="dxa"/>
            <w:shd w:val="clear" w:color="auto" w:fill="FFFFFF"/>
            <w:vAlign w:val="center"/>
          </w:tcPr>
          <w:p w14:paraId="5D3732D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广州市德鸿行房地产代理有限公司</w:t>
            </w:r>
          </w:p>
        </w:tc>
        <w:tc>
          <w:tcPr>
            <w:tcW w:w="1418" w:type="dxa"/>
            <w:shd w:val="clear" w:color="auto" w:fill="FFFFFF"/>
            <w:vAlign w:val="center"/>
          </w:tcPr>
          <w:p w14:paraId="421A440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7" w:type="dxa"/>
            <w:shd w:val="clear" w:color="auto" w:fill="FFFFFF"/>
            <w:vAlign w:val="center"/>
          </w:tcPr>
          <w:p w14:paraId="0302440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50807DA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r>
      <w:tr w14:paraId="3C81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4FFA476C">
            <w:pPr>
              <w:jc w:val="center"/>
              <w:rPr>
                <w:rFonts w:ascii="Times New Roman" w:hAnsi="Times New Roman"/>
                <w:color w:val="000000"/>
                <w:sz w:val="24"/>
                <w:szCs w:val="24"/>
              </w:rPr>
            </w:pPr>
            <w:r>
              <w:rPr>
                <w:rFonts w:ascii="Times New Roman" w:hAnsi="Times New Roman"/>
                <w:color w:val="000000"/>
                <w:sz w:val="24"/>
              </w:rPr>
              <w:t>4</w:t>
            </w:r>
          </w:p>
        </w:tc>
        <w:tc>
          <w:tcPr>
            <w:tcW w:w="3969" w:type="dxa"/>
            <w:shd w:val="clear" w:color="auto" w:fill="FFFFFF"/>
            <w:vAlign w:val="center"/>
          </w:tcPr>
          <w:p w14:paraId="5AF2BA8E">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房六六置业(广州)有限公司</w:t>
            </w:r>
          </w:p>
        </w:tc>
        <w:tc>
          <w:tcPr>
            <w:tcW w:w="1418" w:type="dxa"/>
            <w:shd w:val="clear" w:color="auto" w:fill="FFFFFF"/>
            <w:vAlign w:val="center"/>
          </w:tcPr>
          <w:p w14:paraId="280B6C8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7" w:type="dxa"/>
            <w:shd w:val="clear" w:color="auto" w:fill="FFFFFF"/>
            <w:vAlign w:val="center"/>
          </w:tcPr>
          <w:p w14:paraId="7FB3AE5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243DB62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2D7C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78C182F4">
            <w:pPr>
              <w:jc w:val="center"/>
              <w:rPr>
                <w:rFonts w:ascii="Times New Roman" w:hAnsi="Times New Roman"/>
                <w:color w:val="000000"/>
                <w:sz w:val="24"/>
                <w:szCs w:val="24"/>
              </w:rPr>
            </w:pPr>
            <w:r>
              <w:rPr>
                <w:rFonts w:ascii="Times New Roman" w:hAnsi="Times New Roman"/>
                <w:color w:val="000000"/>
                <w:sz w:val="24"/>
              </w:rPr>
              <w:t>5</w:t>
            </w:r>
          </w:p>
        </w:tc>
        <w:tc>
          <w:tcPr>
            <w:tcW w:w="3969" w:type="dxa"/>
            <w:shd w:val="clear" w:color="auto" w:fill="FFFFFF"/>
            <w:vAlign w:val="center"/>
          </w:tcPr>
          <w:p w14:paraId="4737C5C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广州市禧汇房地产代理有限公司</w:t>
            </w:r>
          </w:p>
        </w:tc>
        <w:tc>
          <w:tcPr>
            <w:tcW w:w="1418" w:type="dxa"/>
            <w:shd w:val="clear" w:color="auto" w:fill="FFFFFF"/>
            <w:vAlign w:val="center"/>
          </w:tcPr>
          <w:p w14:paraId="2515F1E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7" w:type="dxa"/>
            <w:shd w:val="clear" w:color="auto" w:fill="FFFFFF"/>
            <w:vAlign w:val="center"/>
          </w:tcPr>
          <w:p w14:paraId="6A6B162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267D044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0B61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1DCF7B18">
            <w:pPr>
              <w:jc w:val="center"/>
              <w:rPr>
                <w:rFonts w:ascii="Times New Roman" w:hAnsi="Times New Roman"/>
                <w:color w:val="000000"/>
                <w:sz w:val="24"/>
                <w:szCs w:val="24"/>
              </w:rPr>
            </w:pPr>
            <w:r>
              <w:rPr>
                <w:rFonts w:ascii="Times New Roman" w:hAnsi="Times New Roman"/>
                <w:color w:val="000000"/>
                <w:sz w:val="24"/>
              </w:rPr>
              <w:t>6</w:t>
            </w:r>
          </w:p>
        </w:tc>
        <w:tc>
          <w:tcPr>
            <w:tcW w:w="3969" w:type="dxa"/>
            <w:shd w:val="clear" w:color="auto" w:fill="FFFFFF"/>
            <w:vAlign w:val="center"/>
          </w:tcPr>
          <w:p w14:paraId="1368824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广州瀚信置业有限公司</w:t>
            </w:r>
          </w:p>
        </w:tc>
        <w:tc>
          <w:tcPr>
            <w:tcW w:w="1418" w:type="dxa"/>
            <w:shd w:val="clear" w:color="auto" w:fill="FFFFFF"/>
            <w:vAlign w:val="center"/>
          </w:tcPr>
          <w:p w14:paraId="3C72EC9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7" w:type="dxa"/>
            <w:shd w:val="clear" w:color="auto" w:fill="FFFFFF"/>
            <w:vAlign w:val="center"/>
          </w:tcPr>
          <w:p w14:paraId="2D5A645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6F66EFB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3CDD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1B8E9F28">
            <w:pPr>
              <w:jc w:val="center"/>
              <w:rPr>
                <w:rFonts w:ascii="Times New Roman" w:hAnsi="Times New Roman"/>
                <w:color w:val="000000"/>
                <w:sz w:val="24"/>
                <w:szCs w:val="24"/>
              </w:rPr>
            </w:pPr>
            <w:r>
              <w:rPr>
                <w:rFonts w:ascii="Times New Roman" w:hAnsi="Times New Roman"/>
                <w:color w:val="000000"/>
                <w:sz w:val="24"/>
              </w:rPr>
              <w:t>7</w:t>
            </w:r>
          </w:p>
        </w:tc>
        <w:tc>
          <w:tcPr>
            <w:tcW w:w="3969" w:type="dxa"/>
            <w:shd w:val="clear" w:color="auto" w:fill="FFFFFF"/>
            <w:vAlign w:val="center"/>
          </w:tcPr>
          <w:p w14:paraId="02B14D4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广东德诚行地产集团有限公司</w:t>
            </w:r>
          </w:p>
        </w:tc>
        <w:tc>
          <w:tcPr>
            <w:tcW w:w="1418" w:type="dxa"/>
            <w:shd w:val="clear" w:color="auto" w:fill="FFFFFF"/>
            <w:vAlign w:val="center"/>
          </w:tcPr>
          <w:p w14:paraId="3A260E8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7" w:type="dxa"/>
            <w:shd w:val="clear" w:color="auto" w:fill="FFFFFF"/>
            <w:vAlign w:val="center"/>
          </w:tcPr>
          <w:p w14:paraId="724BD36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589D0D9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3BB1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6FC5863F">
            <w:pPr>
              <w:jc w:val="center"/>
              <w:rPr>
                <w:rFonts w:ascii="Times New Roman" w:hAnsi="Times New Roman"/>
                <w:color w:val="000000"/>
                <w:sz w:val="24"/>
                <w:szCs w:val="24"/>
              </w:rPr>
            </w:pPr>
            <w:r>
              <w:rPr>
                <w:rFonts w:ascii="Times New Roman" w:hAnsi="Times New Roman"/>
                <w:color w:val="000000"/>
                <w:sz w:val="24"/>
              </w:rPr>
              <w:t>9</w:t>
            </w:r>
          </w:p>
        </w:tc>
        <w:tc>
          <w:tcPr>
            <w:tcW w:w="3969" w:type="dxa"/>
            <w:shd w:val="clear" w:color="auto" w:fill="FFFFFF"/>
            <w:vAlign w:val="center"/>
          </w:tcPr>
          <w:p w14:paraId="5D8791A2">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广州市纵博房地产代理有限公司</w:t>
            </w:r>
          </w:p>
        </w:tc>
        <w:tc>
          <w:tcPr>
            <w:tcW w:w="1418" w:type="dxa"/>
            <w:shd w:val="clear" w:color="auto" w:fill="FFFFFF"/>
            <w:vAlign w:val="center"/>
          </w:tcPr>
          <w:p w14:paraId="65EC46E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7" w:type="dxa"/>
            <w:shd w:val="clear" w:color="auto" w:fill="FFFFFF"/>
            <w:vAlign w:val="center"/>
          </w:tcPr>
          <w:p w14:paraId="03EBA24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20EE1E1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754B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6A293FB6">
            <w:pPr>
              <w:jc w:val="center"/>
              <w:rPr>
                <w:rFonts w:ascii="Times New Roman" w:hAnsi="Times New Roman"/>
                <w:color w:val="000000"/>
                <w:sz w:val="24"/>
                <w:szCs w:val="24"/>
              </w:rPr>
            </w:pPr>
            <w:r>
              <w:rPr>
                <w:rFonts w:ascii="Times New Roman" w:hAnsi="Times New Roman"/>
                <w:color w:val="000000"/>
                <w:sz w:val="24"/>
              </w:rPr>
              <w:t>8</w:t>
            </w:r>
          </w:p>
        </w:tc>
        <w:tc>
          <w:tcPr>
            <w:tcW w:w="3969" w:type="dxa"/>
            <w:shd w:val="clear" w:color="auto" w:fill="FFFFFF"/>
            <w:vAlign w:val="center"/>
          </w:tcPr>
          <w:p w14:paraId="783DA3A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广州亿诚房地产咨询有限公司</w:t>
            </w:r>
          </w:p>
        </w:tc>
        <w:tc>
          <w:tcPr>
            <w:tcW w:w="1418" w:type="dxa"/>
            <w:shd w:val="clear" w:color="auto" w:fill="FFFFFF"/>
            <w:vAlign w:val="center"/>
          </w:tcPr>
          <w:p w14:paraId="429E059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7" w:type="dxa"/>
            <w:shd w:val="clear" w:color="auto" w:fill="FFFFFF"/>
            <w:vAlign w:val="center"/>
          </w:tcPr>
          <w:p w14:paraId="13950A3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4B0BC8A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6068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590AF2FF">
            <w:pPr>
              <w:jc w:val="center"/>
              <w:rPr>
                <w:rFonts w:ascii="Times New Roman" w:hAnsi="Times New Roman"/>
                <w:color w:val="000000"/>
                <w:sz w:val="24"/>
                <w:szCs w:val="24"/>
              </w:rPr>
            </w:pPr>
            <w:r>
              <w:rPr>
                <w:rFonts w:ascii="Times New Roman" w:hAnsi="Times New Roman"/>
                <w:color w:val="000000"/>
                <w:sz w:val="24"/>
              </w:rPr>
              <w:t>10</w:t>
            </w:r>
          </w:p>
        </w:tc>
        <w:tc>
          <w:tcPr>
            <w:tcW w:w="3969" w:type="dxa"/>
            <w:shd w:val="clear" w:color="auto" w:fill="FFFFFF"/>
            <w:vAlign w:val="center"/>
          </w:tcPr>
          <w:p w14:paraId="1A5456D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广州市中营房地产代理有限公司</w:t>
            </w:r>
          </w:p>
        </w:tc>
        <w:tc>
          <w:tcPr>
            <w:tcW w:w="1418" w:type="dxa"/>
            <w:shd w:val="clear" w:color="auto" w:fill="FFFFFF"/>
            <w:vAlign w:val="center"/>
          </w:tcPr>
          <w:p w14:paraId="4E583B70">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7" w:type="dxa"/>
            <w:shd w:val="clear" w:color="auto" w:fill="FFFFFF"/>
            <w:vAlign w:val="center"/>
          </w:tcPr>
          <w:p w14:paraId="6B635A4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优质</w:t>
            </w:r>
          </w:p>
        </w:tc>
        <w:tc>
          <w:tcPr>
            <w:tcW w:w="1418" w:type="dxa"/>
            <w:shd w:val="clear" w:color="auto" w:fill="FFFFFF"/>
            <w:vAlign w:val="center"/>
          </w:tcPr>
          <w:p w14:paraId="2F58643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38C2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22689F51">
            <w:pPr>
              <w:jc w:val="center"/>
              <w:rPr>
                <w:rFonts w:ascii="Times New Roman" w:hAnsi="Times New Roman"/>
                <w:color w:val="000000"/>
                <w:sz w:val="24"/>
                <w:szCs w:val="24"/>
              </w:rPr>
            </w:pPr>
            <w:r>
              <w:rPr>
                <w:rFonts w:ascii="Times New Roman" w:hAnsi="Times New Roman"/>
                <w:color w:val="000000"/>
                <w:sz w:val="24"/>
              </w:rPr>
              <w:t>11</w:t>
            </w:r>
          </w:p>
        </w:tc>
        <w:tc>
          <w:tcPr>
            <w:tcW w:w="3969" w:type="dxa"/>
            <w:shd w:val="clear" w:color="auto" w:fill="FFFFFF"/>
            <w:vAlign w:val="center"/>
          </w:tcPr>
          <w:p w14:paraId="33BC4AA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广州市海穗房地产代理有限公司</w:t>
            </w:r>
          </w:p>
        </w:tc>
        <w:tc>
          <w:tcPr>
            <w:tcW w:w="1418" w:type="dxa"/>
            <w:shd w:val="clear" w:color="auto" w:fill="FFFFFF"/>
            <w:vAlign w:val="center"/>
          </w:tcPr>
          <w:p w14:paraId="3079197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7" w:type="dxa"/>
            <w:shd w:val="clear" w:color="auto" w:fill="FFFFFF"/>
            <w:vAlign w:val="center"/>
          </w:tcPr>
          <w:p w14:paraId="0188932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8" w:type="dxa"/>
            <w:shd w:val="clear" w:color="auto" w:fill="FFFFFF"/>
            <w:vAlign w:val="center"/>
          </w:tcPr>
          <w:p w14:paraId="3A7D3739">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7E40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56E05A7F">
            <w:pPr>
              <w:jc w:val="center"/>
              <w:rPr>
                <w:rFonts w:ascii="Times New Roman" w:hAnsi="Times New Roman"/>
                <w:color w:val="000000"/>
                <w:sz w:val="24"/>
                <w:szCs w:val="24"/>
              </w:rPr>
            </w:pPr>
            <w:r>
              <w:rPr>
                <w:rFonts w:ascii="Times New Roman" w:hAnsi="Times New Roman"/>
                <w:color w:val="000000"/>
                <w:sz w:val="24"/>
              </w:rPr>
              <w:t>12</w:t>
            </w:r>
          </w:p>
        </w:tc>
        <w:tc>
          <w:tcPr>
            <w:tcW w:w="3969" w:type="dxa"/>
            <w:shd w:val="clear" w:color="auto" w:fill="FFFFFF"/>
            <w:vAlign w:val="center"/>
          </w:tcPr>
          <w:p w14:paraId="5E8E7687">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广州市安佳房地产代理有限公司</w:t>
            </w:r>
          </w:p>
        </w:tc>
        <w:tc>
          <w:tcPr>
            <w:tcW w:w="1418" w:type="dxa"/>
            <w:shd w:val="clear" w:color="auto" w:fill="FFFFFF"/>
            <w:vAlign w:val="center"/>
          </w:tcPr>
          <w:p w14:paraId="09CB11A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7" w:type="dxa"/>
            <w:shd w:val="clear" w:color="auto" w:fill="FFFFFF"/>
            <w:vAlign w:val="center"/>
          </w:tcPr>
          <w:p w14:paraId="61CD75B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8" w:type="dxa"/>
            <w:shd w:val="clear" w:color="auto" w:fill="FFFFFF"/>
            <w:vAlign w:val="center"/>
          </w:tcPr>
          <w:p w14:paraId="0EFE1A7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r w14:paraId="57B0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shd w:val="clear" w:color="auto" w:fill="FFFFFF"/>
            <w:vAlign w:val="center"/>
          </w:tcPr>
          <w:p w14:paraId="6C2746C9">
            <w:pPr>
              <w:jc w:val="center"/>
              <w:rPr>
                <w:rFonts w:ascii="Times New Roman" w:hAnsi="Times New Roman"/>
                <w:color w:val="000000"/>
                <w:sz w:val="24"/>
                <w:szCs w:val="24"/>
              </w:rPr>
            </w:pPr>
            <w:r>
              <w:rPr>
                <w:rFonts w:ascii="Times New Roman" w:hAnsi="Times New Roman"/>
                <w:color w:val="000000"/>
                <w:sz w:val="24"/>
              </w:rPr>
              <w:t>13</w:t>
            </w:r>
          </w:p>
        </w:tc>
        <w:tc>
          <w:tcPr>
            <w:tcW w:w="3969" w:type="dxa"/>
            <w:shd w:val="clear" w:color="auto" w:fill="FFFFFF"/>
            <w:vAlign w:val="center"/>
          </w:tcPr>
          <w:p w14:paraId="4CF0F8A1">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广东合富辉煌房地产顾问有限公司</w:t>
            </w:r>
          </w:p>
        </w:tc>
        <w:tc>
          <w:tcPr>
            <w:tcW w:w="1418" w:type="dxa"/>
            <w:shd w:val="clear" w:color="auto" w:fill="FFFFFF"/>
            <w:vAlign w:val="center"/>
          </w:tcPr>
          <w:p w14:paraId="55CD043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7" w:type="dxa"/>
            <w:shd w:val="clear" w:color="auto" w:fill="FFFFFF"/>
            <w:vAlign w:val="center"/>
          </w:tcPr>
          <w:p w14:paraId="0C8EFBE4">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c>
          <w:tcPr>
            <w:tcW w:w="1418" w:type="dxa"/>
            <w:shd w:val="clear" w:color="auto" w:fill="FFFFFF"/>
            <w:vAlign w:val="center"/>
          </w:tcPr>
          <w:p w14:paraId="44B2550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良好</w:t>
            </w:r>
          </w:p>
        </w:tc>
      </w:tr>
    </w:tbl>
    <w:p w14:paraId="0D43BD1D">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2A2CA15B">
      <w:pPr>
        <w:pStyle w:val="3"/>
        <w:spacing w:before="240" w:after="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46" w:name="_Toc98168316"/>
      <w:bookmarkStart w:id="47" w:name="_Toc192845444"/>
      <w:r>
        <w:rPr>
          <w:rFonts w:ascii="Times New Roman" w:hAnsi="Times New Roman" w:eastAsia="黑体" w:cs="Times New Roman"/>
          <w:bCs w:val="0"/>
          <w:color w:val="000000" w:themeColor="text1"/>
          <w:sz w:val="28"/>
          <w:szCs w:val="28"/>
          <w14:textFill>
            <w14:solidFill>
              <w14:schemeClr w14:val="tx1"/>
            </w14:solidFill>
          </w14:textFill>
        </w:rPr>
        <w:t>（二）市中介协会会员单位情况</w:t>
      </w:r>
      <w:bookmarkEnd w:id="46"/>
      <w:bookmarkEnd w:id="47"/>
    </w:p>
    <w:p w14:paraId="21B4EBF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3459家中介机构中，市中介协会会员单位数量为713家，占20.6%，非会员单位数量为2746家，占79.4%。</w:t>
      </w:r>
    </w:p>
    <w:p w14:paraId="4E26E585">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在713家市中介协会会员单位中，信用等级为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lang w:val="zh-TW"/>
          <w14:textFill>
            <w14:solidFill>
              <w14:schemeClr w14:val="tx1"/>
            </w14:solidFill>
          </w14:textFill>
        </w:rPr>
        <w:t>的中介机构有19家，占全部</w:t>
      </w:r>
      <w:r>
        <w:rPr>
          <w:rFonts w:hint="eastAsia" w:ascii="仿宋_GB2312" w:eastAsia="仿宋_GB2312" w:hAnsiTheme="minorEastAsia"/>
          <w:color w:val="000000" w:themeColor="text1"/>
          <w:kern w:val="0"/>
          <w:sz w:val="32"/>
          <w:szCs w:val="32"/>
          <w:lang w:val="zh-TW"/>
          <w14:textFill>
            <w14:solidFill>
              <w14:schemeClr w14:val="tx1"/>
            </w14:solidFill>
          </w14:textFill>
        </w:rPr>
        <w:t>“</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hint="eastAsia" w:ascii="仿宋_GB2312" w:eastAsia="仿宋_GB2312" w:hAnsiTheme="minorEastAsia"/>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等级的95</w:t>
      </w:r>
      <w:r>
        <w:rPr>
          <w:rFonts w:ascii="Times New Roman" w:hAnsi="Times New Roman" w:eastAsia="仿宋_GB2312"/>
          <w:color w:val="000000" w:themeColor="text1"/>
          <w:kern w:val="0"/>
          <w:sz w:val="32"/>
          <w:szCs w:val="32"/>
          <w14:textFill>
            <w14:solidFill>
              <w14:schemeClr w14:val="tx1"/>
            </w14:solidFill>
          </w14:textFill>
        </w:rPr>
        <w:t>.0</w:t>
      </w:r>
      <w:r>
        <w:rPr>
          <w:rFonts w:ascii="Times New Roman" w:hAnsi="Times New Roman" w:eastAsia="仿宋_GB2312"/>
          <w:color w:val="000000" w:themeColor="text1"/>
          <w:kern w:val="0"/>
          <w:sz w:val="32"/>
          <w:szCs w:val="32"/>
          <w:lang w:val="zh-TW"/>
          <w14:textFill>
            <w14:solidFill>
              <w14:schemeClr w14:val="tx1"/>
            </w14:solidFill>
          </w14:textFill>
        </w:rPr>
        <w:t>%，17家信用等级为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“良好”</w:t>
      </w:r>
      <w:r>
        <w:rPr>
          <w:rFonts w:ascii="Times New Roman" w:hAnsi="Times New Roman" w:eastAsia="仿宋_GB2312"/>
          <w:color w:val="000000" w:themeColor="text1"/>
          <w:kern w:val="0"/>
          <w:sz w:val="32"/>
          <w:szCs w:val="32"/>
          <w:lang w:val="zh-TW"/>
          <w14:textFill>
            <w14:solidFill>
              <w14:schemeClr w14:val="tx1"/>
            </w14:solidFill>
          </w14:textFill>
        </w:rPr>
        <w:t>的中介机构中有14家是市中介协会会员单位。2746家非市中介协会会员单位主要是成立年限较短、规模较小的</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“诚信”及“暂定诚信”</w:t>
      </w:r>
      <w:r>
        <w:rPr>
          <w:rFonts w:ascii="Times New Roman" w:hAnsi="Times New Roman" w:eastAsia="仿宋_GB2312"/>
          <w:color w:val="000000" w:themeColor="text1"/>
          <w:kern w:val="0"/>
          <w:sz w:val="32"/>
          <w:szCs w:val="32"/>
          <w:lang w:val="zh-TW"/>
          <w14:textFill>
            <w14:solidFill>
              <w14:schemeClr w14:val="tx1"/>
            </w14:solidFill>
          </w14:textFill>
        </w:rPr>
        <w:t>的占绝大部分，合计占比为99.8%（见图</w:t>
      </w:r>
      <w:r>
        <w:rPr>
          <w:rFonts w:ascii="Times New Roman" w:hAnsi="Times New Roman" w:eastAsia="仿宋_GB2312"/>
          <w:color w:val="000000" w:themeColor="text1"/>
          <w:kern w:val="0"/>
          <w:sz w:val="32"/>
          <w:szCs w:val="32"/>
          <w14:textFill>
            <w14:solidFill>
              <w14:schemeClr w14:val="tx1"/>
            </w14:solidFill>
          </w14:textFill>
        </w:rPr>
        <w:t>1</w:t>
      </w:r>
      <w:r>
        <w:rPr>
          <w:rFonts w:hint="eastAsia" w:ascii="Times New Roman" w:hAnsi="Times New Roman" w:eastAsia="仿宋_GB2312"/>
          <w:color w:val="000000" w:themeColor="text1"/>
          <w:kern w:val="0"/>
          <w:sz w:val="32"/>
          <w:szCs w:val="32"/>
          <w14:textFill>
            <w14:solidFill>
              <w14:schemeClr w14:val="tx1"/>
            </w14:solidFill>
          </w14:textFill>
        </w:rPr>
        <w:t>2</w:t>
      </w:r>
      <w:r>
        <w:rPr>
          <w:rFonts w:ascii="Times New Roman" w:hAnsi="Times New Roman" w:eastAsia="仿宋_GB2312"/>
          <w:color w:val="000000" w:themeColor="text1"/>
          <w:kern w:val="0"/>
          <w:sz w:val="32"/>
          <w:szCs w:val="32"/>
          <w:lang w:val="zh-TW"/>
          <w14:textFill>
            <w14:solidFill>
              <w14:schemeClr w14:val="tx1"/>
            </w14:solidFill>
          </w14:textFill>
        </w:rPr>
        <w:t>）。</w:t>
      </w:r>
    </w:p>
    <w:p w14:paraId="74062FAB">
      <w:pPr>
        <w:spacing w:line="360" w:lineRule="auto"/>
        <w:rPr>
          <w:rFonts w:ascii="Times New Roman" w:hAnsi="Times New Roman"/>
          <w:color w:val="FF0000"/>
          <w:sz w:val="24"/>
        </w:rPr>
      </w:pPr>
      <w:r>
        <w:rPr>
          <w:rFonts w:ascii="Times New Roman" w:hAnsi="Times New Roman"/>
          <w:color w:val="FF0000"/>
          <w:sz w:val="24"/>
        </w:rPr>
        <w:drawing>
          <wp:inline distT="0" distB="0" distL="0" distR="0">
            <wp:extent cx="2841625" cy="2508885"/>
            <wp:effectExtent l="0" t="0" r="0" b="5715"/>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855275" cy="2520772"/>
                    </a:xfrm>
                    <a:prstGeom prst="rect">
                      <a:avLst/>
                    </a:prstGeom>
                    <a:noFill/>
                  </pic:spPr>
                </pic:pic>
              </a:graphicData>
            </a:graphic>
          </wp:inline>
        </w:drawing>
      </w:r>
      <w:r>
        <w:rPr>
          <w:rFonts w:ascii="Times New Roman" w:hAnsi="Times New Roman"/>
          <w:color w:val="FF0000"/>
          <w:sz w:val="24"/>
        </w:rPr>
        <w:drawing>
          <wp:inline distT="0" distB="0" distL="0" distR="0">
            <wp:extent cx="2835275" cy="2517140"/>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838260" cy="2520038"/>
                    </a:xfrm>
                    <a:prstGeom prst="rect">
                      <a:avLst/>
                    </a:prstGeom>
                    <a:noFill/>
                  </pic:spPr>
                </pic:pic>
              </a:graphicData>
            </a:graphic>
          </wp:inline>
        </w:drawing>
      </w:r>
    </w:p>
    <w:p w14:paraId="5113C23F">
      <w:pPr>
        <w:spacing w:line="360" w:lineRule="auto"/>
        <w:jc w:val="center"/>
        <w:rPr>
          <w:rFonts w:ascii="Times New Roman" w:hAnsi="Times New Roman"/>
          <w:color w:val="FF0000"/>
          <w:sz w:val="24"/>
        </w:rPr>
      </w:pPr>
      <w:r>
        <w:rPr>
          <w:rFonts w:ascii="Times New Roman" w:hAnsi="Times New Roman"/>
        </w:rPr>
        <w:drawing>
          <wp:inline distT="0" distB="0" distL="0" distR="0">
            <wp:extent cx="2806700" cy="22987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3"/>
                    <a:stretch>
                      <a:fillRect/>
                    </a:stretch>
                  </pic:blipFill>
                  <pic:spPr>
                    <a:xfrm>
                      <a:off x="0" y="0"/>
                      <a:ext cx="2826564" cy="231791"/>
                    </a:xfrm>
                    <a:prstGeom prst="rect">
                      <a:avLst/>
                    </a:prstGeom>
                  </pic:spPr>
                </pic:pic>
              </a:graphicData>
            </a:graphic>
          </wp:inline>
        </w:drawing>
      </w:r>
    </w:p>
    <w:p w14:paraId="05DB54C4">
      <w:pPr>
        <w:jc w:val="center"/>
        <w:rPr>
          <w:rFonts w:ascii="Times New Roman" w:hAnsi="Times New Roman"/>
          <w:sz w:val="24"/>
        </w:rPr>
      </w:pPr>
      <w:r>
        <w:rPr>
          <w:rFonts w:ascii="Times New Roman" w:hAnsi="Times New Roman"/>
          <w:sz w:val="24"/>
        </w:rPr>
        <w:t>图1</w:t>
      </w:r>
      <w:r>
        <w:rPr>
          <w:rFonts w:hint="eastAsia" w:ascii="Times New Roman" w:hAnsi="Times New Roman"/>
          <w:sz w:val="24"/>
        </w:rPr>
        <w:t>2</w:t>
      </w:r>
      <w:r>
        <w:rPr>
          <w:rFonts w:ascii="Times New Roman" w:hAnsi="Times New Roman"/>
          <w:sz w:val="24"/>
        </w:rPr>
        <w:t xml:space="preserve">  市中介协会会员单位（左）与非会员单位（右）信用等级结构</w:t>
      </w:r>
    </w:p>
    <w:p w14:paraId="46B1FCD1">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2752B09F">
      <w:pPr>
        <w:pStyle w:val="2"/>
        <w:spacing w:before="120" w:beforeLines="50" w:after="120" w:afterLines="50" w:line="420" w:lineRule="auto"/>
        <w:ind w:firstLine="643" w:firstLineChars="200"/>
        <w:rPr>
          <w:rFonts w:ascii="Times New Roman" w:hAnsi="Times New Roman" w:eastAsia="黑体"/>
          <w:bCs w:val="0"/>
          <w:color w:val="000000" w:themeColor="text1"/>
          <w:sz w:val="32"/>
          <w:szCs w:val="24"/>
          <w14:textFill>
            <w14:solidFill>
              <w14:schemeClr w14:val="tx1"/>
            </w14:solidFill>
          </w14:textFill>
        </w:rPr>
      </w:pPr>
      <w:bookmarkStart w:id="48" w:name="_Toc98168317"/>
      <w:bookmarkStart w:id="49" w:name="_Toc192845445"/>
      <w:r>
        <w:rPr>
          <w:rFonts w:ascii="Times New Roman" w:hAnsi="Times New Roman" w:eastAsia="黑体"/>
          <w:bCs w:val="0"/>
          <w:color w:val="000000" w:themeColor="text1"/>
          <w:sz w:val="32"/>
          <w:szCs w:val="24"/>
          <w14:textFill>
            <w14:solidFill>
              <w14:schemeClr w14:val="tx1"/>
            </w14:solidFill>
          </w14:textFill>
        </w:rPr>
        <w:t>五、中介服务品牌信用状况</w:t>
      </w:r>
      <w:bookmarkEnd w:id="48"/>
      <w:bookmarkEnd w:id="49"/>
    </w:p>
    <w:p w14:paraId="4ABCCFEC">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自2018年以来，我市房地产中介服务行业业态发生较大变化，市场中出现了越来越多的加盟类中介机构，形成一些中介服务品牌。</w:t>
      </w:r>
    </w:p>
    <w:p w14:paraId="6B373A4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根据经营模式的不同，中介服务品牌主要分为以下几类：</w:t>
      </w:r>
    </w:p>
    <w:p w14:paraId="35BCE07D">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（一）直营类</w:t>
      </w:r>
      <w:r>
        <w:rPr>
          <w:rFonts w:hint="eastAsia" w:ascii="Times New Roman" w:hAnsi="Times New Roman" w:eastAsia="仿宋_GB2312"/>
          <w:color w:val="000000" w:themeColor="text1"/>
          <w:kern w:val="0"/>
          <w:sz w:val="32"/>
          <w:szCs w:val="32"/>
          <w:lang w:val="zh-TW"/>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机构：指一家</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的所有门店都是由该公司直接投资及经营管理，通常这类企业会使用统一的客户服务投诉热线。这类品牌企业主要有：链家、合富置业、中原地产、乐有家等。该类品牌的信用评分及等级直接取自企业信用评分及等级。</w:t>
      </w:r>
    </w:p>
    <w:p w14:paraId="631D79D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其中，有部分直营类</w:t>
      </w:r>
      <w:r>
        <w:rPr>
          <w:rFonts w:hint="eastAsia" w:ascii="Times New Roman" w:hAnsi="Times New Roman" w:eastAsia="仿宋_GB2312"/>
          <w:color w:val="000000" w:themeColor="text1"/>
          <w:kern w:val="0"/>
          <w:sz w:val="32"/>
          <w:szCs w:val="32"/>
          <w:lang w:val="zh-TW"/>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机构（如裕丰地产和德诚行等）采取多家经营主体（即不同名称的企业法人）使用统一的品牌名称、LOGO对外经营的模式</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该类品牌的信用评分是将其下辖所有备案证书有效的经营主体的信用评分进行综合计算，根据综合信用评分确定该品牌的信用等级。</w:t>
      </w:r>
    </w:p>
    <w:p w14:paraId="18201D08">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（二）加盟类</w:t>
      </w:r>
      <w:r>
        <w:rPr>
          <w:rFonts w:hint="eastAsia" w:ascii="Times New Roman" w:hAnsi="Times New Roman" w:eastAsia="仿宋_GB2312"/>
          <w:color w:val="000000" w:themeColor="text1"/>
          <w:kern w:val="0"/>
          <w:sz w:val="32"/>
          <w:szCs w:val="32"/>
          <w:lang w:val="zh-TW"/>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机构：指</w:t>
      </w:r>
      <w:r>
        <w:rPr>
          <w:rFonts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含其门店）经第三方商业机构授权，统一使用该第三方商业机构的服务标识（含品牌名称、LOGO等）对外经营，通常的体现方式是统一门店招牌，其目的是利用该第三方商业机构的形象、品牌、声誉等吸引消费者。这也是许多消费者经常发现有些</w:t>
      </w:r>
      <w:r>
        <w:rPr>
          <w:rFonts w:hint="eastAsia" w:ascii="Times New Roman" w:hAnsi="Times New Roman" w:eastAsia="仿宋_GB2312"/>
          <w:color w:val="000000" w:themeColor="text1"/>
          <w:kern w:val="0"/>
          <w:sz w:val="32"/>
          <w:szCs w:val="32"/>
          <w:lang w:val="zh-TW"/>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机构的工商营业执照上所记载的公司名称与其门店招牌不一致的原因。这类品牌企业主要有：德佑、糯家、乐远、优居广州、住商不动产等</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该类品牌的信用评分是将其下辖所有备案证书有效的经营主体的信用评分进行综合计算，根据综合信用评分确定该品牌的信用等级。</w:t>
      </w:r>
    </w:p>
    <w:p w14:paraId="3BCACA9E">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（三）直营与加盟结合的</w:t>
      </w:r>
      <w:r>
        <w:rPr>
          <w:rFonts w:hint="eastAsia" w:ascii="Times New Roman" w:hAnsi="Times New Roman" w:eastAsia="仿宋_GB2312"/>
          <w:color w:val="000000" w:themeColor="text1"/>
          <w:kern w:val="0"/>
          <w:sz w:val="32"/>
          <w:szCs w:val="32"/>
          <w:lang w:val="zh-TW"/>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机构：指</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机构采取了直营与加盟相结合的经营模式，即部分门店为直营，部分门店为加盟。这类品牌企业主要有：住天下、置家、共和地产等</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该类品牌的信用评分是将其下辖所有备案证书有效的经营主体的信用评分进行综合计算，根据综合信用评分确定该品牌的信用等级。</w:t>
      </w:r>
    </w:p>
    <w:p w14:paraId="445C9B2A">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消费者在选择</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机构提供服务时，可以主动查看该</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机构的门店是否已办理《广州市房地产中介服务机构备案证书》，并查阅</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机构的信用档案了解该</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机构（门店）是否为加盟类企业。</w:t>
      </w:r>
    </w:p>
    <w:p w14:paraId="3B9E88F1">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为方便广大消费者更好了解我市房地产中介服务品牌信用状况，市中介协会在2020年1月发布实施《</w:t>
      </w:r>
      <w:bookmarkStart w:id="50" w:name="OLE_LINK66"/>
      <w:bookmarkStart w:id="51" w:name="OLE_LINK70"/>
      <w:r>
        <w:rPr>
          <w:rFonts w:ascii="Times New Roman" w:hAnsi="Times New Roman" w:eastAsia="仿宋_GB2312"/>
          <w:color w:val="000000" w:themeColor="text1"/>
          <w:kern w:val="0"/>
          <w:sz w:val="32"/>
          <w:szCs w:val="32"/>
          <w:lang w:val="zh-TW"/>
          <w14:textFill>
            <w14:solidFill>
              <w14:schemeClr w14:val="tx1"/>
            </w14:solidFill>
          </w14:textFill>
        </w:rPr>
        <w:t>广州市房地产中介服务品牌信用评分评级规则</w:t>
      </w:r>
      <w:bookmarkEnd w:id="50"/>
      <w:bookmarkEnd w:id="51"/>
      <w:r>
        <w:rPr>
          <w:rFonts w:ascii="Times New Roman" w:hAnsi="Times New Roman" w:eastAsia="仿宋_GB2312"/>
          <w:color w:val="000000" w:themeColor="text1"/>
          <w:kern w:val="0"/>
          <w:sz w:val="32"/>
          <w:szCs w:val="32"/>
          <w:lang w:val="zh-TW"/>
          <w14:textFill>
            <w14:solidFill>
              <w14:schemeClr w14:val="tx1"/>
            </w14:solidFill>
          </w14:textFill>
        </w:rPr>
        <w:t>》（见附件4），从评分规则、评级规则、品牌信息、信息公示等方面对中介服务品牌信用评分评级工作进行明确。</w:t>
      </w:r>
    </w:p>
    <w:p w14:paraId="31C8CE6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2024年，广州市房地产中介行业各服务品牌的经营或加盟规模呈现分化趋势，直营品牌门店数量普遍有所下降，裕丰地产、乐有家、德诚行、合富</w:t>
      </w:r>
      <w:r>
        <w:rPr>
          <w:rFonts w:ascii="Times New Roman" w:hAnsi="Times New Roman" w:eastAsia="仿宋_GB2312"/>
          <w:color w:val="000000" w:themeColor="text1"/>
          <w:kern w:val="0"/>
          <w:sz w:val="32"/>
          <w:szCs w:val="32"/>
          <w14:textFill>
            <w14:solidFill>
              <w14:schemeClr w14:val="tx1"/>
            </w14:solidFill>
          </w14:textFill>
        </w:rPr>
        <w:t>置业</w:t>
      </w:r>
      <w:r>
        <w:rPr>
          <w:rFonts w:ascii="Times New Roman" w:hAnsi="Times New Roman" w:eastAsia="仿宋_GB2312"/>
          <w:color w:val="000000" w:themeColor="text1"/>
          <w:kern w:val="0"/>
          <w:sz w:val="32"/>
          <w:szCs w:val="32"/>
          <w:lang w:val="zh-TW"/>
          <w14:textFill>
            <w14:solidFill>
              <w14:schemeClr w14:val="tx1"/>
            </w14:solidFill>
          </w14:textFill>
        </w:rPr>
        <w:t>较2023年分别减少143间、45间、27间和22间</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加盟</w:t>
      </w:r>
      <w:r>
        <w:rPr>
          <w:rFonts w:hint="eastAsia" w:ascii="Times New Roman" w:hAnsi="Times New Roman" w:eastAsia="仿宋_GB2312"/>
          <w:color w:val="000000" w:themeColor="text1"/>
          <w:kern w:val="0"/>
          <w:sz w:val="32"/>
          <w:szCs w:val="32"/>
          <w14:textFill>
            <w14:solidFill>
              <w14:schemeClr w14:val="tx1"/>
            </w14:solidFill>
          </w14:textFill>
        </w:rPr>
        <w:t>类</w:t>
      </w:r>
      <w:r>
        <w:rPr>
          <w:rFonts w:ascii="Times New Roman" w:hAnsi="Times New Roman" w:eastAsia="仿宋_GB2312"/>
          <w:color w:val="000000" w:themeColor="text1"/>
          <w:kern w:val="0"/>
          <w:sz w:val="32"/>
          <w:szCs w:val="32"/>
          <w:lang w:val="zh-TW"/>
          <w14:textFill>
            <w14:solidFill>
              <w14:schemeClr w14:val="tx1"/>
            </w14:solidFill>
          </w14:textFill>
        </w:rPr>
        <w:t>的品牌</w:t>
      </w:r>
      <w:r>
        <w:rPr>
          <w:rFonts w:hint="eastAsia" w:ascii="Times New Roman" w:hAnsi="Times New Roman" w:eastAsia="仿宋_GB2312"/>
          <w:color w:val="000000" w:themeColor="text1"/>
          <w:kern w:val="0"/>
          <w:sz w:val="32"/>
          <w:szCs w:val="32"/>
          <w14:textFill>
            <w14:solidFill>
              <w14:schemeClr w14:val="tx1"/>
            </w14:solidFill>
          </w14:textFill>
        </w:rPr>
        <w:t>门店数量</w:t>
      </w:r>
      <w:r>
        <w:rPr>
          <w:rFonts w:ascii="Times New Roman" w:hAnsi="Times New Roman" w:eastAsia="仿宋_GB2312"/>
          <w:color w:val="000000" w:themeColor="text1"/>
          <w:kern w:val="0"/>
          <w:sz w:val="32"/>
          <w:szCs w:val="32"/>
          <w:lang w:val="zh-TW"/>
          <w14:textFill>
            <w14:solidFill>
              <w14:schemeClr w14:val="tx1"/>
            </w14:solidFill>
          </w14:textFill>
        </w:rPr>
        <w:t>则普遍上涨，</w:t>
      </w:r>
      <w:r>
        <w:rPr>
          <w:rFonts w:hint="eastAsia" w:ascii="Times New Roman" w:hAnsi="Times New Roman" w:eastAsia="仿宋_GB2312"/>
          <w:color w:val="000000" w:themeColor="text1"/>
          <w:kern w:val="0"/>
          <w:sz w:val="32"/>
          <w:szCs w:val="32"/>
          <w14:textFill>
            <w14:solidFill>
              <w14:schemeClr w14:val="tx1"/>
            </w14:solidFill>
          </w14:textFill>
        </w:rPr>
        <w:t>其中</w:t>
      </w:r>
      <w:r>
        <w:rPr>
          <w:rFonts w:ascii="Times New Roman" w:hAnsi="Times New Roman" w:eastAsia="仿宋_GB2312"/>
          <w:color w:val="000000" w:themeColor="text1"/>
          <w:kern w:val="0"/>
          <w:sz w:val="32"/>
          <w:szCs w:val="32"/>
          <w:lang w:val="zh-TW"/>
          <w14:textFill>
            <w14:solidFill>
              <w14:schemeClr w14:val="tx1"/>
            </w14:solidFill>
          </w14:textFill>
        </w:rPr>
        <w:t>德佑、住商</w:t>
      </w:r>
      <w:r>
        <w:rPr>
          <w:rFonts w:ascii="Times New Roman" w:hAnsi="Times New Roman" w:eastAsia="仿宋_GB2312"/>
          <w:color w:val="000000" w:themeColor="text1"/>
          <w:kern w:val="0"/>
          <w:sz w:val="32"/>
          <w:szCs w:val="32"/>
          <w14:textFill>
            <w14:solidFill>
              <w14:schemeClr w14:val="tx1"/>
            </w14:solidFill>
          </w14:textFill>
        </w:rPr>
        <w:t>不动产</w:t>
      </w:r>
      <w:r>
        <w:rPr>
          <w:rFonts w:ascii="Times New Roman" w:hAnsi="Times New Roman" w:eastAsia="仿宋_GB2312"/>
          <w:color w:val="000000" w:themeColor="text1"/>
          <w:kern w:val="0"/>
          <w:sz w:val="32"/>
          <w:szCs w:val="32"/>
          <w:lang w:val="zh-TW"/>
          <w14:textFill>
            <w14:solidFill>
              <w14:schemeClr w14:val="tx1"/>
            </w14:solidFill>
          </w14:textFill>
        </w:rPr>
        <w:t>分别大幅增加273间和93间</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乐远门店</w:t>
      </w:r>
      <w:r>
        <w:rPr>
          <w:rFonts w:hint="eastAsia" w:ascii="Times New Roman" w:hAnsi="Times New Roman" w:eastAsia="仿宋_GB2312"/>
          <w:color w:val="000000" w:themeColor="text1"/>
          <w:kern w:val="0"/>
          <w:sz w:val="32"/>
          <w:szCs w:val="32"/>
          <w14:textFill>
            <w14:solidFill>
              <w14:schemeClr w14:val="tx1"/>
            </w14:solidFill>
          </w14:textFill>
        </w:rPr>
        <w:t>数量</w:t>
      </w:r>
      <w:r>
        <w:rPr>
          <w:rFonts w:hint="eastAsia" w:ascii="Times New Roman" w:hAnsi="Times New Roman" w:eastAsia="仿宋_GB2312"/>
          <w:color w:val="000000" w:themeColor="text1"/>
          <w:kern w:val="0"/>
          <w:sz w:val="32"/>
          <w:szCs w:val="32"/>
          <w:lang w:val="zh-TW"/>
          <w14:textFill>
            <w14:solidFill>
              <w14:schemeClr w14:val="tx1"/>
            </w14:solidFill>
          </w14:textFill>
        </w:rPr>
        <w:t>为106间</w:t>
      </w:r>
      <w:r>
        <w:rPr>
          <w:rFonts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见表</w:t>
      </w:r>
      <w:r>
        <w:rPr>
          <w:rFonts w:hint="eastAsia" w:ascii="Times New Roman" w:hAnsi="Times New Roman" w:eastAsia="仿宋_GB2312"/>
          <w:color w:val="000000" w:themeColor="text1"/>
          <w:kern w:val="0"/>
          <w:sz w:val="32"/>
          <w:szCs w:val="32"/>
          <w14:textFill>
            <w14:solidFill>
              <w14:schemeClr w14:val="tx1"/>
            </w14:solidFill>
          </w14:textFill>
        </w:rPr>
        <w:t>9</w:t>
      </w:r>
      <w:r>
        <w:rPr>
          <w:rFonts w:ascii="Times New Roman" w:hAnsi="Times New Roman" w:eastAsia="仿宋_GB2312"/>
          <w:color w:val="000000" w:themeColor="text1"/>
          <w:kern w:val="0"/>
          <w:sz w:val="32"/>
          <w:szCs w:val="32"/>
          <w:lang w:val="zh-TW"/>
          <w14:textFill>
            <w14:solidFill>
              <w14:schemeClr w14:val="tx1"/>
            </w14:solidFill>
          </w14:textFill>
        </w:rPr>
        <w:t>）。</w:t>
      </w:r>
    </w:p>
    <w:p w14:paraId="41C41D8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2024年，在全市门店数量</w:t>
      </w:r>
      <w:r>
        <w:rPr>
          <w:rFonts w:ascii="Times New Roman" w:hAnsi="Times New Roman" w:eastAsia="仿宋_GB2312"/>
          <w:color w:val="000000" w:themeColor="text1"/>
          <w:kern w:val="0"/>
          <w:sz w:val="32"/>
          <w:szCs w:val="32"/>
          <w:vertAlign w:val="superscript"/>
          <w:lang w:val="zh-TW"/>
          <w14:textFill>
            <w14:solidFill>
              <w14:schemeClr w14:val="tx1"/>
            </w14:solidFill>
          </w14:textFill>
        </w:rPr>
        <w:footnoteReference w:id="10"/>
      </w:r>
      <w:r>
        <w:rPr>
          <w:rFonts w:ascii="Times New Roman" w:hAnsi="Times New Roman" w:eastAsia="仿宋_GB2312"/>
          <w:color w:val="000000" w:themeColor="text1"/>
          <w:kern w:val="0"/>
          <w:sz w:val="32"/>
          <w:szCs w:val="32"/>
          <w:lang w:val="zh-TW"/>
          <w14:textFill>
            <w14:solidFill>
              <w14:schemeClr w14:val="tx1"/>
            </w14:solidFill>
          </w14:textFill>
        </w:rPr>
        <w:t>20间及以上的房地产中介服务品牌</w:t>
      </w:r>
      <w:r>
        <w:rPr>
          <w:rFonts w:hint="eastAsia" w:ascii="Times New Roman" w:hAnsi="Times New Roman" w:eastAsia="仿宋_GB2312"/>
          <w:color w:val="000000" w:themeColor="text1"/>
          <w:kern w:val="0"/>
          <w:sz w:val="32"/>
          <w:szCs w:val="32"/>
          <w:lang w:val="zh-TW"/>
          <w14:textFill>
            <w14:solidFill>
              <w14:schemeClr w14:val="tx1"/>
            </w14:solidFill>
          </w14:textFill>
        </w:rPr>
        <w:t>有15家</w:t>
      </w:r>
      <w:r>
        <w:rPr>
          <w:rFonts w:ascii="Times New Roman" w:hAnsi="Times New Roman" w:eastAsia="仿宋_GB2312"/>
          <w:color w:val="000000" w:themeColor="text1"/>
          <w:kern w:val="0"/>
          <w:sz w:val="32"/>
          <w:szCs w:val="32"/>
          <w:lang w:val="zh-TW"/>
          <w14:textFill>
            <w14:solidFill>
              <w14:schemeClr w14:val="tx1"/>
            </w14:solidFill>
          </w14:textFill>
        </w:rPr>
        <w:t>，其中</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lang w:val="zh-TW"/>
          <w14:textFill>
            <w14:solidFill>
              <w14:schemeClr w14:val="tx1"/>
            </w14:solidFill>
          </w14:textFill>
        </w:rPr>
        <w:t>的有4家，均为直营</w:t>
      </w:r>
      <w:r>
        <w:rPr>
          <w:rFonts w:hint="eastAsia" w:ascii="Times New Roman" w:hAnsi="Times New Roman" w:eastAsia="仿宋_GB2312"/>
          <w:color w:val="000000" w:themeColor="text1"/>
          <w:kern w:val="0"/>
          <w:sz w:val="32"/>
          <w:szCs w:val="32"/>
          <w:lang w:val="zh-TW"/>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机构，包括链家、合富置业、中原地产</w:t>
      </w:r>
      <w:r>
        <w:rPr>
          <w:rFonts w:hint="eastAsia" w:ascii="Times New Roman" w:hAnsi="Times New Roman" w:eastAsia="仿宋_GB2312"/>
          <w:color w:val="000000" w:themeColor="text1"/>
          <w:kern w:val="0"/>
          <w:sz w:val="32"/>
          <w:szCs w:val="32"/>
          <w:lang w:val="zh-TW"/>
          <w14:textFill>
            <w14:solidFill>
              <w14:schemeClr w14:val="tx1"/>
            </w14:solidFill>
          </w14:textFill>
        </w:rPr>
        <w:t>和</w:t>
      </w:r>
      <w:r>
        <w:rPr>
          <w:rFonts w:ascii="Times New Roman" w:hAnsi="Times New Roman" w:eastAsia="仿宋_GB2312"/>
          <w:color w:val="000000" w:themeColor="text1"/>
          <w:kern w:val="0"/>
          <w:sz w:val="32"/>
          <w:szCs w:val="32"/>
          <w:lang w:val="zh-TW"/>
          <w14:textFill>
            <w14:solidFill>
              <w14:schemeClr w14:val="tx1"/>
            </w14:solidFill>
          </w14:textFill>
        </w:rPr>
        <w:t>乐有家；其余为</w:t>
      </w:r>
      <w:r>
        <w:rPr>
          <w:rFonts w:hint="eastAsia" w:ascii="仿宋_GB2312" w:hAnsi="Times New Roman" w:eastAsia="仿宋_GB2312"/>
          <w:color w:val="000000" w:themeColor="text1"/>
          <w:kern w:val="0"/>
          <w:sz w:val="32"/>
          <w:szCs w:val="32"/>
          <w:lang w:val="zh-TW"/>
          <w14:textFill>
            <w14:solidFill>
              <w14:schemeClr w14:val="tx1"/>
            </w14:solidFill>
          </w14:textFill>
        </w:rPr>
        <w:t>“诚信”</w:t>
      </w:r>
      <w:r>
        <w:rPr>
          <w:rFonts w:ascii="Times New Roman" w:hAnsi="Times New Roman" w:eastAsia="仿宋_GB2312"/>
          <w:color w:val="000000" w:themeColor="text1"/>
          <w:kern w:val="0"/>
          <w:sz w:val="32"/>
          <w:szCs w:val="32"/>
          <w:lang w:val="zh-TW"/>
          <w14:textFill>
            <w14:solidFill>
              <w14:schemeClr w14:val="tx1"/>
            </w14:solidFill>
          </w14:textFill>
        </w:rPr>
        <w:t>，包括越</w:t>
      </w:r>
      <w:r>
        <w:rPr>
          <w:rFonts w:hint="eastAsia" w:ascii="Times New Roman" w:hAnsi="Times New Roman" w:eastAsia="仿宋_GB2312"/>
          <w:color w:val="000000" w:themeColor="text1"/>
          <w:kern w:val="0"/>
          <w:sz w:val="32"/>
          <w:szCs w:val="32"/>
          <w14:textFill>
            <w14:solidFill>
              <w14:schemeClr w14:val="tx1"/>
            </w14:solidFill>
          </w14:textFill>
        </w:rPr>
        <w:t>服</w:t>
      </w:r>
      <w:r>
        <w:rPr>
          <w:rFonts w:ascii="Times New Roman" w:hAnsi="Times New Roman" w:eastAsia="仿宋_GB2312"/>
          <w:color w:val="000000" w:themeColor="text1"/>
          <w:kern w:val="0"/>
          <w:sz w:val="32"/>
          <w:szCs w:val="32"/>
          <w:lang w:val="zh-TW"/>
          <w14:textFill>
            <w14:solidFill>
              <w14:schemeClr w14:val="tx1"/>
            </w14:solidFill>
          </w14:textFill>
        </w:rPr>
        <w:t>经纪、裕丰地产、德诚行、住天下等。</w:t>
      </w:r>
    </w:p>
    <w:p w14:paraId="083A9E36">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45C2DE40">
      <w:pPr>
        <w:jc w:val="center"/>
        <w:rPr>
          <w:rFonts w:ascii="Times New Roman" w:hAnsi="Times New Roman"/>
          <w:sz w:val="24"/>
        </w:rPr>
      </w:pPr>
      <w:r>
        <w:rPr>
          <w:rFonts w:ascii="Times New Roman" w:hAnsi="Times New Roman"/>
          <w:sz w:val="24"/>
        </w:rPr>
        <w:t>表</w:t>
      </w:r>
      <w:r>
        <w:rPr>
          <w:rFonts w:hint="eastAsia" w:ascii="Times New Roman" w:hAnsi="Times New Roman"/>
          <w:sz w:val="24"/>
        </w:rPr>
        <w:t>9</w:t>
      </w:r>
      <w:r>
        <w:rPr>
          <w:rFonts w:ascii="Times New Roman" w:hAnsi="Times New Roman"/>
          <w:sz w:val="24"/>
        </w:rPr>
        <w:t xml:space="preserve">  2024年广州市主要房地产中介服务品牌</w:t>
      </w:r>
      <w:r>
        <w:rPr>
          <w:sz w:val="24"/>
          <w:vertAlign w:val="superscript"/>
        </w:rPr>
        <w:footnoteReference w:id="11"/>
      </w:r>
      <w:r>
        <w:rPr>
          <w:rFonts w:ascii="Times New Roman" w:hAnsi="Times New Roman"/>
          <w:sz w:val="24"/>
        </w:rPr>
        <w:t>信用评分评级情况</w:t>
      </w:r>
    </w:p>
    <w:tbl>
      <w:tblPr>
        <w:tblStyle w:val="20"/>
        <w:tblW w:w="10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3695"/>
        <w:gridCol w:w="873"/>
        <w:gridCol w:w="873"/>
        <w:gridCol w:w="981"/>
        <w:gridCol w:w="981"/>
        <w:gridCol w:w="684"/>
        <w:gridCol w:w="1465"/>
      </w:tblGrid>
      <w:tr w14:paraId="79C1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83" w:type="dxa"/>
            <w:vAlign w:val="center"/>
          </w:tcPr>
          <w:p w14:paraId="21252B09">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序号</w:t>
            </w:r>
          </w:p>
        </w:tc>
        <w:tc>
          <w:tcPr>
            <w:tcW w:w="3695" w:type="dxa"/>
            <w:vAlign w:val="center"/>
          </w:tcPr>
          <w:p w14:paraId="203E7CF9">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中介服务品牌LOGO</w:t>
            </w:r>
          </w:p>
          <w:p w14:paraId="3A2418CD">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及品牌所属公司</w:t>
            </w:r>
          </w:p>
        </w:tc>
        <w:tc>
          <w:tcPr>
            <w:tcW w:w="873" w:type="dxa"/>
            <w:vAlign w:val="center"/>
          </w:tcPr>
          <w:p w14:paraId="73D903C2">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2023年备案门店</w:t>
            </w:r>
          </w:p>
          <w:p w14:paraId="74B4DD79">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数量</w:t>
            </w:r>
          </w:p>
        </w:tc>
        <w:tc>
          <w:tcPr>
            <w:tcW w:w="873" w:type="dxa"/>
            <w:vAlign w:val="center"/>
          </w:tcPr>
          <w:p w14:paraId="29926230">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2024年备案门店</w:t>
            </w:r>
          </w:p>
          <w:p w14:paraId="0FACE4B8">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数量</w:t>
            </w:r>
          </w:p>
        </w:tc>
        <w:tc>
          <w:tcPr>
            <w:tcW w:w="981" w:type="dxa"/>
            <w:vAlign w:val="center"/>
          </w:tcPr>
          <w:p w14:paraId="56CB7076">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2024年度品牌信用</w:t>
            </w:r>
          </w:p>
          <w:p w14:paraId="7CDDDFA8">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评分</w:t>
            </w:r>
          </w:p>
        </w:tc>
        <w:tc>
          <w:tcPr>
            <w:tcW w:w="981" w:type="dxa"/>
            <w:vAlign w:val="center"/>
          </w:tcPr>
          <w:p w14:paraId="2031F8CF">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2024年度品牌信用</w:t>
            </w:r>
          </w:p>
          <w:p w14:paraId="4B608A11">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等级</w:t>
            </w:r>
          </w:p>
        </w:tc>
        <w:tc>
          <w:tcPr>
            <w:tcW w:w="684" w:type="dxa"/>
            <w:vAlign w:val="center"/>
          </w:tcPr>
          <w:p w14:paraId="539636A0">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存续</w:t>
            </w:r>
          </w:p>
          <w:p w14:paraId="3410D2C7">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年限</w:t>
            </w:r>
          </w:p>
        </w:tc>
        <w:tc>
          <w:tcPr>
            <w:tcW w:w="1465" w:type="dxa"/>
            <w:vAlign w:val="center"/>
          </w:tcPr>
          <w:p w14:paraId="32C21C21">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统一</w:t>
            </w:r>
          </w:p>
          <w:p w14:paraId="3686930C">
            <w:pPr>
              <w:widowControl/>
              <w:jc w:val="center"/>
              <w:textAlignment w:val="center"/>
              <w:rPr>
                <w:rFonts w:ascii="Times New Roman" w:hAnsi="Times New Roman" w:eastAsia="仿宋"/>
                <w:b/>
                <w:color w:val="000000" w:themeColor="text1"/>
                <w:szCs w:val="21"/>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客服电话</w:t>
            </w:r>
          </w:p>
        </w:tc>
      </w:tr>
      <w:tr w14:paraId="74AB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3" w:type="dxa"/>
            <w:vAlign w:val="center"/>
          </w:tcPr>
          <w:p w14:paraId="7A1C443A">
            <w:pPr>
              <w:jc w:val="center"/>
              <w:rPr>
                <w:rFonts w:ascii="Times New Roman" w:hAnsi="Times New Roman"/>
                <w:color w:val="000000"/>
                <w:sz w:val="24"/>
              </w:rPr>
            </w:pPr>
            <w:r>
              <w:rPr>
                <w:rFonts w:ascii="Times New Roman" w:hAnsi="Times New Roman"/>
                <w:color w:val="000000"/>
                <w:sz w:val="24"/>
              </w:rPr>
              <w:t>1</w:t>
            </w:r>
          </w:p>
        </w:tc>
        <w:tc>
          <w:tcPr>
            <w:tcW w:w="3695" w:type="dxa"/>
            <w:vAlign w:val="center"/>
          </w:tcPr>
          <w:p w14:paraId="6868EE16">
            <w:pPr>
              <w:jc w:val="center"/>
              <w:rPr>
                <w:rFonts w:ascii="Times New Roman" w:hAnsi="Times New Roman"/>
              </w:rPr>
            </w:pPr>
            <w:r>
              <w:rPr>
                <w:rFonts w:ascii="Times New Roman" w:hAnsi="Times New Roman"/>
                <w:color w:val="000000"/>
                <w:kern w:val="0"/>
                <w:szCs w:val="21"/>
              </w:rPr>
              <w:drawing>
                <wp:inline distT="0" distB="0" distL="0" distR="0">
                  <wp:extent cx="1079500" cy="701675"/>
                  <wp:effectExtent l="0" t="0" r="6350" b="0"/>
                  <wp:docPr id="22" name="图片 22" descr="C:\Users\研究部1\AppData\Local\Temp\WeChat Files\09220f08b636498a8200f3dd67a6e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研究部1\AppData\Local\Temp\WeChat Files\09220f08b636498a8200f3dd67a6edc.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080000" cy="702000"/>
                          </a:xfrm>
                          <a:prstGeom prst="rect">
                            <a:avLst/>
                          </a:prstGeom>
                          <a:noFill/>
                          <a:ln>
                            <a:noFill/>
                          </a:ln>
                        </pic:spPr>
                      </pic:pic>
                    </a:graphicData>
                  </a:graphic>
                </wp:inline>
              </w:drawing>
            </w:r>
          </w:p>
          <w:p w14:paraId="2953B5B0">
            <w:pPr>
              <w:jc w:val="center"/>
              <w:rPr>
                <w:rFonts w:ascii="Times New Roman" w:hAnsi="Times New Roman"/>
              </w:rPr>
            </w:pPr>
            <w:r>
              <w:rPr>
                <w:rFonts w:ascii="Times New Roman" w:hAnsi="Times New Roman"/>
              </w:rPr>
              <w:t>广东链家房地产经纪有限公司</w:t>
            </w:r>
          </w:p>
          <w:p w14:paraId="3E413B6A">
            <w:pPr>
              <w:jc w:val="center"/>
              <w:rPr>
                <w:rFonts w:ascii="Times New Roman" w:hAnsi="Times New Roman"/>
              </w:rPr>
            </w:pPr>
            <w:r>
              <w:rPr>
                <w:rFonts w:ascii="Times New Roman" w:hAnsi="Times New Roman"/>
              </w:rPr>
              <w:t>（直营）</w:t>
            </w:r>
          </w:p>
        </w:tc>
        <w:tc>
          <w:tcPr>
            <w:tcW w:w="873" w:type="dxa"/>
            <w:vAlign w:val="center"/>
          </w:tcPr>
          <w:p w14:paraId="66EB2AC0">
            <w:pPr>
              <w:jc w:val="center"/>
              <w:rPr>
                <w:rFonts w:ascii="Times New Roman" w:hAnsi="Times New Roman"/>
              </w:rPr>
            </w:pPr>
            <w:r>
              <w:rPr>
                <w:rFonts w:ascii="Times New Roman" w:hAnsi="Times New Roman"/>
              </w:rPr>
              <w:t>221</w:t>
            </w:r>
          </w:p>
        </w:tc>
        <w:tc>
          <w:tcPr>
            <w:tcW w:w="873" w:type="dxa"/>
            <w:vAlign w:val="center"/>
          </w:tcPr>
          <w:p w14:paraId="1502D107">
            <w:pPr>
              <w:jc w:val="center"/>
              <w:rPr>
                <w:rFonts w:ascii="Times New Roman" w:hAnsi="Times New Roman"/>
              </w:rPr>
            </w:pPr>
            <w:r>
              <w:rPr>
                <w:rFonts w:ascii="Times New Roman" w:hAnsi="Times New Roman"/>
              </w:rPr>
              <w:t>213</w:t>
            </w:r>
          </w:p>
        </w:tc>
        <w:tc>
          <w:tcPr>
            <w:tcW w:w="981" w:type="dxa"/>
            <w:vAlign w:val="center"/>
          </w:tcPr>
          <w:p w14:paraId="192AFFA9">
            <w:pPr>
              <w:jc w:val="center"/>
              <w:rPr>
                <w:rFonts w:ascii="Times New Roman" w:hAnsi="Times New Roman"/>
              </w:rPr>
            </w:pPr>
            <w:r>
              <w:rPr>
                <w:rFonts w:ascii="Times New Roman" w:hAnsi="Times New Roman"/>
              </w:rPr>
              <w:t>129.30</w:t>
            </w:r>
          </w:p>
        </w:tc>
        <w:tc>
          <w:tcPr>
            <w:tcW w:w="981" w:type="dxa"/>
            <w:vAlign w:val="center"/>
          </w:tcPr>
          <w:p w14:paraId="07FCC7BC">
            <w:pPr>
              <w:jc w:val="center"/>
              <w:rPr>
                <w:rFonts w:ascii="Times New Roman" w:hAnsi="Times New Roman"/>
              </w:rPr>
            </w:pPr>
            <w:r>
              <w:rPr>
                <w:rFonts w:ascii="Times New Roman" w:hAnsi="Times New Roman"/>
              </w:rPr>
              <w:t>优质</w:t>
            </w:r>
          </w:p>
        </w:tc>
        <w:tc>
          <w:tcPr>
            <w:tcW w:w="684" w:type="dxa"/>
            <w:vAlign w:val="center"/>
          </w:tcPr>
          <w:p w14:paraId="261ED779">
            <w:pPr>
              <w:jc w:val="center"/>
              <w:rPr>
                <w:rFonts w:ascii="Times New Roman" w:hAnsi="Times New Roman"/>
              </w:rPr>
            </w:pPr>
            <w:r>
              <w:rPr>
                <w:rFonts w:ascii="Times New Roman" w:hAnsi="Times New Roman"/>
              </w:rPr>
              <w:t>2</w:t>
            </w:r>
            <w:r>
              <w:rPr>
                <w:rFonts w:hint="eastAsia" w:ascii="Times New Roman" w:hAnsi="Times New Roman"/>
              </w:rPr>
              <w:t>4</w:t>
            </w:r>
            <w:r>
              <w:rPr>
                <w:rFonts w:ascii="Times New Roman" w:hAnsi="Times New Roman"/>
              </w:rPr>
              <w:t>年</w:t>
            </w:r>
          </w:p>
        </w:tc>
        <w:tc>
          <w:tcPr>
            <w:tcW w:w="1465" w:type="dxa"/>
            <w:vAlign w:val="center"/>
          </w:tcPr>
          <w:p w14:paraId="34CF72E3">
            <w:pPr>
              <w:jc w:val="center"/>
              <w:rPr>
                <w:rFonts w:ascii="Times New Roman" w:hAnsi="Times New Roman"/>
              </w:rPr>
            </w:pPr>
            <w:r>
              <w:rPr>
                <w:rFonts w:ascii="Times New Roman" w:hAnsi="Times New Roman"/>
              </w:rPr>
              <w:t>10109666</w:t>
            </w:r>
          </w:p>
        </w:tc>
      </w:tr>
      <w:tr w14:paraId="494E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3" w:type="dxa"/>
            <w:vAlign w:val="center"/>
          </w:tcPr>
          <w:p w14:paraId="297D1512">
            <w:pPr>
              <w:jc w:val="center"/>
              <w:rPr>
                <w:rFonts w:ascii="Times New Roman" w:hAnsi="Times New Roman"/>
                <w:color w:val="000000"/>
                <w:sz w:val="24"/>
              </w:rPr>
            </w:pPr>
            <w:bookmarkStart w:id="52" w:name="_Hlk191384563"/>
            <w:r>
              <w:rPr>
                <w:rFonts w:ascii="Times New Roman" w:hAnsi="Times New Roman"/>
                <w:color w:val="000000"/>
                <w:sz w:val="24"/>
              </w:rPr>
              <w:t>2</w:t>
            </w:r>
          </w:p>
        </w:tc>
        <w:tc>
          <w:tcPr>
            <w:tcW w:w="3695" w:type="dxa"/>
            <w:vAlign w:val="center"/>
          </w:tcPr>
          <w:p w14:paraId="29C99E23">
            <w:pPr>
              <w:jc w:val="center"/>
              <w:rPr>
                <w:rFonts w:ascii="Times New Roman" w:hAnsi="Times New Roman"/>
              </w:rPr>
            </w:pPr>
            <w:r>
              <w:rPr>
                <w:rFonts w:ascii="Times New Roman" w:hAnsi="Times New Roman"/>
                <w:color w:val="000000"/>
                <w:kern w:val="0"/>
                <w:szCs w:val="21"/>
              </w:rPr>
              <w:drawing>
                <wp:inline distT="0" distB="0" distL="0" distR="0">
                  <wp:extent cx="828675" cy="668655"/>
                  <wp:effectExtent l="0" t="0" r="9525" b="171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5" cstate="print"/>
                          <a:stretch>
                            <a:fillRect/>
                          </a:stretch>
                        </pic:blipFill>
                        <pic:spPr>
                          <a:xfrm>
                            <a:off x="0" y="0"/>
                            <a:ext cx="834080" cy="673129"/>
                          </a:xfrm>
                          <a:prstGeom prst="rect">
                            <a:avLst/>
                          </a:prstGeom>
                        </pic:spPr>
                      </pic:pic>
                    </a:graphicData>
                  </a:graphic>
                </wp:inline>
              </w:drawing>
            </w:r>
          </w:p>
          <w:p w14:paraId="42EABC21">
            <w:pPr>
              <w:jc w:val="center"/>
              <w:rPr>
                <w:rFonts w:ascii="Times New Roman" w:hAnsi="Times New Roman"/>
              </w:rPr>
            </w:pPr>
            <w:r>
              <w:rPr>
                <w:rFonts w:ascii="Times New Roman" w:hAnsi="Times New Roman"/>
              </w:rPr>
              <w:t>广东合富房地产置业有限公司</w:t>
            </w:r>
          </w:p>
          <w:p w14:paraId="63A13F64">
            <w:pPr>
              <w:jc w:val="center"/>
              <w:rPr>
                <w:rFonts w:ascii="Times New Roman" w:hAnsi="Times New Roman"/>
              </w:rPr>
            </w:pPr>
            <w:r>
              <w:rPr>
                <w:rFonts w:ascii="Times New Roman" w:hAnsi="Times New Roman"/>
              </w:rPr>
              <w:t>（直营）</w:t>
            </w:r>
          </w:p>
        </w:tc>
        <w:tc>
          <w:tcPr>
            <w:tcW w:w="873" w:type="dxa"/>
            <w:vAlign w:val="center"/>
          </w:tcPr>
          <w:p w14:paraId="177E0111">
            <w:pPr>
              <w:jc w:val="center"/>
              <w:rPr>
                <w:rFonts w:ascii="Times New Roman" w:hAnsi="Times New Roman"/>
              </w:rPr>
            </w:pPr>
            <w:r>
              <w:rPr>
                <w:rFonts w:ascii="Times New Roman" w:hAnsi="Times New Roman"/>
              </w:rPr>
              <w:t>128</w:t>
            </w:r>
          </w:p>
        </w:tc>
        <w:tc>
          <w:tcPr>
            <w:tcW w:w="873" w:type="dxa"/>
            <w:vAlign w:val="center"/>
          </w:tcPr>
          <w:p w14:paraId="1D33C1DD">
            <w:pPr>
              <w:jc w:val="center"/>
              <w:rPr>
                <w:rFonts w:ascii="Times New Roman" w:hAnsi="Times New Roman"/>
              </w:rPr>
            </w:pPr>
            <w:r>
              <w:rPr>
                <w:rFonts w:ascii="Times New Roman" w:hAnsi="Times New Roman"/>
              </w:rPr>
              <w:t>106</w:t>
            </w:r>
          </w:p>
        </w:tc>
        <w:tc>
          <w:tcPr>
            <w:tcW w:w="981" w:type="dxa"/>
            <w:vAlign w:val="center"/>
          </w:tcPr>
          <w:p w14:paraId="13C80035">
            <w:pPr>
              <w:jc w:val="center"/>
              <w:rPr>
                <w:rFonts w:ascii="Times New Roman" w:hAnsi="Times New Roman"/>
              </w:rPr>
            </w:pPr>
            <w:r>
              <w:rPr>
                <w:rFonts w:ascii="Times New Roman" w:hAnsi="Times New Roman"/>
              </w:rPr>
              <w:t>129.20</w:t>
            </w:r>
          </w:p>
        </w:tc>
        <w:tc>
          <w:tcPr>
            <w:tcW w:w="981" w:type="dxa"/>
            <w:vAlign w:val="center"/>
          </w:tcPr>
          <w:p w14:paraId="0025AEFB">
            <w:pPr>
              <w:jc w:val="center"/>
              <w:rPr>
                <w:rFonts w:ascii="Times New Roman" w:hAnsi="Times New Roman"/>
              </w:rPr>
            </w:pPr>
            <w:r>
              <w:rPr>
                <w:rFonts w:ascii="Times New Roman" w:hAnsi="Times New Roman"/>
              </w:rPr>
              <w:t>优质</w:t>
            </w:r>
          </w:p>
        </w:tc>
        <w:tc>
          <w:tcPr>
            <w:tcW w:w="684" w:type="dxa"/>
            <w:vAlign w:val="center"/>
          </w:tcPr>
          <w:p w14:paraId="4300DD45">
            <w:pPr>
              <w:jc w:val="center"/>
              <w:rPr>
                <w:rFonts w:ascii="Times New Roman" w:hAnsi="Times New Roman"/>
              </w:rPr>
            </w:pPr>
            <w:r>
              <w:rPr>
                <w:rFonts w:ascii="Times New Roman" w:hAnsi="Times New Roman"/>
              </w:rPr>
              <w:t>2</w:t>
            </w:r>
            <w:r>
              <w:rPr>
                <w:rFonts w:hint="eastAsia" w:ascii="Times New Roman" w:hAnsi="Times New Roman"/>
              </w:rPr>
              <w:t>5</w:t>
            </w:r>
            <w:r>
              <w:rPr>
                <w:rFonts w:ascii="Times New Roman" w:hAnsi="Times New Roman"/>
              </w:rPr>
              <w:t>年</w:t>
            </w:r>
          </w:p>
        </w:tc>
        <w:tc>
          <w:tcPr>
            <w:tcW w:w="1465" w:type="dxa"/>
            <w:vAlign w:val="center"/>
          </w:tcPr>
          <w:p w14:paraId="2BBFF9A0">
            <w:pPr>
              <w:jc w:val="center"/>
              <w:rPr>
                <w:rFonts w:ascii="Times New Roman" w:hAnsi="Times New Roman"/>
              </w:rPr>
            </w:pPr>
            <w:r>
              <w:rPr>
                <w:rFonts w:ascii="Times New Roman" w:hAnsi="Times New Roman"/>
              </w:rPr>
              <w:t>020-38784592</w:t>
            </w:r>
          </w:p>
        </w:tc>
      </w:tr>
      <w:bookmarkEnd w:id="52"/>
      <w:tr w14:paraId="5B5F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3" w:type="dxa"/>
            <w:vAlign w:val="center"/>
          </w:tcPr>
          <w:p w14:paraId="478AA277">
            <w:pPr>
              <w:jc w:val="center"/>
              <w:rPr>
                <w:rFonts w:ascii="Times New Roman" w:hAnsi="Times New Roman"/>
                <w:color w:val="000000"/>
                <w:sz w:val="24"/>
              </w:rPr>
            </w:pPr>
            <w:bookmarkStart w:id="53" w:name="_Hlk191384572"/>
            <w:r>
              <w:rPr>
                <w:rFonts w:ascii="Times New Roman" w:hAnsi="Times New Roman"/>
                <w:color w:val="000000"/>
                <w:sz w:val="24"/>
              </w:rPr>
              <w:t>3</w:t>
            </w:r>
          </w:p>
        </w:tc>
        <w:tc>
          <w:tcPr>
            <w:tcW w:w="3695" w:type="dxa"/>
            <w:vAlign w:val="center"/>
          </w:tcPr>
          <w:p w14:paraId="179783AB">
            <w:pPr>
              <w:jc w:val="center"/>
              <w:rPr>
                <w:rFonts w:ascii="Times New Roman" w:hAnsi="Times New Roman"/>
              </w:rPr>
            </w:pPr>
            <w:r>
              <w:rPr>
                <w:rFonts w:ascii="Times New Roman" w:hAnsi="Times New Roman"/>
              </w:rPr>
              <w:drawing>
                <wp:inline distT="0" distB="0" distL="0" distR="0">
                  <wp:extent cx="1536065" cy="591185"/>
                  <wp:effectExtent l="0" t="0" r="698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536065" cy="591185"/>
                          </a:xfrm>
                          <a:prstGeom prst="rect">
                            <a:avLst/>
                          </a:prstGeom>
                          <a:noFill/>
                        </pic:spPr>
                      </pic:pic>
                    </a:graphicData>
                  </a:graphic>
                </wp:inline>
              </w:drawing>
            </w:r>
          </w:p>
          <w:p w14:paraId="04FD9775">
            <w:pPr>
              <w:jc w:val="center"/>
              <w:rPr>
                <w:rFonts w:ascii="Times New Roman" w:hAnsi="Times New Roman"/>
              </w:rPr>
            </w:pPr>
            <w:r>
              <w:rPr>
                <w:rFonts w:ascii="Times New Roman" w:hAnsi="Times New Roman"/>
              </w:rPr>
              <w:t>广东中原地产代理有限公司</w:t>
            </w:r>
          </w:p>
          <w:p w14:paraId="54F29416">
            <w:pPr>
              <w:jc w:val="center"/>
              <w:rPr>
                <w:rFonts w:ascii="Times New Roman" w:hAnsi="Times New Roman"/>
              </w:rPr>
            </w:pPr>
            <w:r>
              <w:rPr>
                <w:rFonts w:ascii="Times New Roman" w:hAnsi="Times New Roman"/>
              </w:rPr>
              <w:t>（直营）</w:t>
            </w:r>
          </w:p>
        </w:tc>
        <w:tc>
          <w:tcPr>
            <w:tcW w:w="873" w:type="dxa"/>
            <w:vAlign w:val="center"/>
          </w:tcPr>
          <w:p w14:paraId="4FC24D3F">
            <w:pPr>
              <w:jc w:val="center"/>
              <w:rPr>
                <w:rFonts w:ascii="Times New Roman" w:hAnsi="Times New Roman"/>
              </w:rPr>
            </w:pPr>
            <w:r>
              <w:rPr>
                <w:rFonts w:ascii="Times New Roman" w:hAnsi="Times New Roman"/>
              </w:rPr>
              <w:t>69</w:t>
            </w:r>
          </w:p>
        </w:tc>
        <w:tc>
          <w:tcPr>
            <w:tcW w:w="873" w:type="dxa"/>
            <w:vAlign w:val="center"/>
          </w:tcPr>
          <w:p w14:paraId="2F59AAC8">
            <w:pPr>
              <w:jc w:val="center"/>
              <w:rPr>
                <w:rFonts w:ascii="Times New Roman" w:hAnsi="Times New Roman"/>
              </w:rPr>
            </w:pPr>
            <w:r>
              <w:rPr>
                <w:rFonts w:ascii="Times New Roman" w:hAnsi="Times New Roman"/>
              </w:rPr>
              <w:t>60</w:t>
            </w:r>
          </w:p>
        </w:tc>
        <w:tc>
          <w:tcPr>
            <w:tcW w:w="981" w:type="dxa"/>
            <w:vAlign w:val="center"/>
          </w:tcPr>
          <w:p w14:paraId="68FF257D">
            <w:pPr>
              <w:jc w:val="center"/>
              <w:rPr>
                <w:rFonts w:ascii="Times New Roman" w:hAnsi="Times New Roman"/>
              </w:rPr>
            </w:pPr>
            <w:r>
              <w:rPr>
                <w:rFonts w:ascii="Times New Roman" w:hAnsi="Times New Roman"/>
              </w:rPr>
              <w:t>124.10</w:t>
            </w:r>
          </w:p>
        </w:tc>
        <w:tc>
          <w:tcPr>
            <w:tcW w:w="981" w:type="dxa"/>
            <w:vAlign w:val="center"/>
          </w:tcPr>
          <w:p w14:paraId="38D76079">
            <w:pPr>
              <w:jc w:val="center"/>
              <w:rPr>
                <w:rFonts w:ascii="Times New Roman" w:hAnsi="Times New Roman"/>
              </w:rPr>
            </w:pPr>
            <w:r>
              <w:rPr>
                <w:rFonts w:ascii="Times New Roman" w:hAnsi="Times New Roman"/>
              </w:rPr>
              <w:t>优质</w:t>
            </w:r>
          </w:p>
        </w:tc>
        <w:tc>
          <w:tcPr>
            <w:tcW w:w="684" w:type="dxa"/>
            <w:vAlign w:val="center"/>
          </w:tcPr>
          <w:p w14:paraId="31E3C9B9">
            <w:pPr>
              <w:jc w:val="center"/>
              <w:rPr>
                <w:rFonts w:ascii="Times New Roman" w:hAnsi="Times New Roman"/>
              </w:rPr>
            </w:pPr>
            <w:r>
              <w:rPr>
                <w:rFonts w:hint="eastAsia" w:ascii="Times New Roman" w:hAnsi="Times New Roman"/>
              </w:rPr>
              <w:t>20</w:t>
            </w:r>
            <w:r>
              <w:rPr>
                <w:rFonts w:ascii="Times New Roman" w:hAnsi="Times New Roman"/>
              </w:rPr>
              <w:t>年</w:t>
            </w:r>
          </w:p>
        </w:tc>
        <w:tc>
          <w:tcPr>
            <w:tcW w:w="1465" w:type="dxa"/>
            <w:vAlign w:val="center"/>
          </w:tcPr>
          <w:p w14:paraId="6CBDAC9E">
            <w:pPr>
              <w:jc w:val="center"/>
              <w:rPr>
                <w:rFonts w:ascii="Times New Roman" w:hAnsi="Times New Roman"/>
              </w:rPr>
            </w:pPr>
            <w:r>
              <w:rPr>
                <w:rFonts w:ascii="Times New Roman" w:hAnsi="Times New Roman"/>
              </w:rPr>
              <w:t>020-83486299</w:t>
            </w:r>
          </w:p>
        </w:tc>
      </w:tr>
      <w:bookmarkEnd w:id="53"/>
      <w:tr w14:paraId="2393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3" w:type="dxa"/>
            <w:vAlign w:val="center"/>
          </w:tcPr>
          <w:p w14:paraId="4F3B7835">
            <w:pPr>
              <w:jc w:val="center"/>
              <w:rPr>
                <w:rFonts w:ascii="Times New Roman" w:hAnsi="Times New Roman"/>
                <w:color w:val="000000"/>
                <w:sz w:val="24"/>
              </w:rPr>
            </w:pPr>
            <w:bookmarkStart w:id="54" w:name="_Hlk191384607"/>
            <w:r>
              <w:rPr>
                <w:rFonts w:ascii="Times New Roman" w:hAnsi="Times New Roman"/>
                <w:color w:val="000000"/>
                <w:sz w:val="24"/>
              </w:rPr>
              <w:t>4</w:t>
            </w:r>
          </w:p>
        </w:tc>
        <w:tc>
          <w:tcPr>
            <w:tcW w:w="3695" w:type="dxa"/>
            <w:vAlign w:val="center"/>
          </w:tcPr>
          <w:p w14:paraId="6286F262">
            <w:pPr>
              <w:jc w:val="center"/>
              <w:rPr>
                <w:rFonts w:ascii="Times New Roman" w:hAnsi="Times New Roman"/>
              </w:rPr>
            </w:pPr>
            <w:r>
              <w:rPr>
                <w:rFonts w:ascii="Times New Roman" w:hAnsi="Times New Roman"/>
              </w:rPr>
              <w:drawing>
                <wp:inline distT="0" distB="0" distL="0" distR="0">
                  <wp:extent cx="1322705" cy="664210"/>
                  <wp:effectExtent l="0" t="0" r="0"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322705" cy="664210"/>
                          </a:xfrm>
                          <a:prstGeom prst="rect">
                            <a:avLst/>
                          </a:prstGeom>
                          <a:noFill/>
                        </pic:spPr>
                      </pic:pic>
                    </a:graphicData>
                  </a:graphic>
                </wp:inline>
              </w:drawing>
            </w:r>
          </w:p>
          <w:p w14:paraId="2F70B092">
            <w:pPr>
              <w:jc w:val="center"/>
              <w:rPr>
                <w:rFonts w:ascii="Times New Roman" w:hAnsi="Times New Roman"/>
              </w:rPr>
            </w:pPr>
            <w:r>
              <w:rPr>
                <w:rFonts w:ascii="Times New Roman" w:hAnsi="Times New Roman"/>
              </w:rPr>
              <w:t>广州市乐有家房产经纪有限公司</w:t>
            </w:r>
          </w:p>
          <w:p w14:paraId="5FFFB926">
            <w:pPr>
              <w:jc w:val="center"/>
              <w:rPr>
                <w:rFonts w:ascii="Times New Roman" w:hAnsi="Times New Roman"/>
              </w:rPr>
            </w:pPr>
            <w:r>
              <w:rPr>
                <w:rFonts w:ascii="Times New Roman" w:hAnsi="Times New Roman"/>
              </w:rPr>
              <w:t>（直营）</w:t>
            </w:r>
          </w:p>
        </w:tc>
        <w:tc>
          <w:tcPr>
            <w:tcW w:w="873" w:type="dxa"/>
            <w:vAlign w:val="center"/>
          </w:tcPr>
          <w:p w14:paraId="1DBB00CD">
            <w:pPr>
              <w:jc w:val="center"/>
              <w:rPr>
                <w:rFonts w:ascii="Times New Roman" w:hAnsi="Times New Roman"/>
              </w:rPr>
            </w:pPr>
            <w:r>
              <w:rPr>
                <w:rFonts w:ascii="Times New Roman" w:hAnsi="Times New Roman"/>
              </w:rPr>
              <w:t>93</w:t>
            </w:r>
          </w:p>
        </w:tc>
        <w:tc>
          <w:tcPr>
            <w:tcW w:w="873" w:type="dxa"/>
            <w:vAlign w:val="center"/>
          </w:tcPr>
          <w:p w14:paraId="56A4FD9A">
            <w:pPr>
              <w:jc w:val="center"/>
              <w:rPr>
                <w:rFonts w:ascii="Times New Roman" w:hAnsi="Times New Roman"/>
              </w:rPr>
            </w:pPr>
            <w:r>
              <w:rPr>
                <w:rFonts w:ascii="Times New Roman" w:hAnsi="Times New Roman"/>
              </w:rPr>
              <w:t>48</w:t>
            </w:r>
          </w:p>
        </w:tc>
        <w:tc>
          <w:tcPr>
            <w:tcW w:w="981" w:type="dxa"/>
            <w:vAlign w:val="center"/>
          </w:tcPr>
          <w:p w14:paraId="5750CCD7">
            <w:pPr>
              <w:jc w:val="center"/>
              <w:rPr>
                <w:rFonts w:ascii="Times New Roman" w:hAnsi="Times New Roman"/>
              </w:rPr>
            </w:pPr>
            <w:r>
              <w:rPr>
                <w:rFonts w:ascii="Times New Roman" w:hAnsi="Times New Roman"/>
              </w:rPr>
              <w:t>115.90</w:t>
            </w:r>
          </w:p>
        </w:tc>
        <w:tc>
          <w:tcPr>
            <w:tcW w:w="981" w:type="dxa"/>
            <w:vAlign w:val="center"/>
          </w:tcPr>
          <w:p w14:paraId="1C62DD67">
            <w:pPr>
              <w:jc w:val="center"/>
              <w:rPr>
                <w:rFonts w:ascii="Times New Roman" w:hAnsi="Times New Roman"/>
              </w:rPr>
            </w:pPr>
            <w:r>
              <w:rPr>
                <w:rFonts w:ascii="Times New Roman" w:hAnsi="Times New Roman"/>
              </w:rPr>
              <w:t>优质</w:t>
            </w:r>
          </w:p>
        </w:tc>
        <w:tc>
          <w:tcPr>
            <w:tcW w:w="684" w:type="dxa"/>
            <w:vAlign w:val="center"/>
          </w:tcPr>
          <w:p w14:paraId="63F512C0">
            <w:pPr>
              <w:jc w:val="center"/>
              <w:rPr>
                <w:rFonts w:ascii="Times New Roman" w:hAnsi="Times New Roman"/>
              </w:rPr>
            </w:pPr>
            <w:r>
              <w:rPr>
                <w:rFonts w:hint="eastAsia" w:ascii="Times New Roman" w:hAnsi="Times New Roman"/>
              </w:rPr>
              <w:t>9</w:t>
            </w:r>
            <w:r>
              <w:rPr>
                <w:rFonts w:ascii="Times New Roman" w:hAnsi="Times New Roman"/>
              </w:rPr>
              <w:t>年</w:t>
            </w:r>
          </w:p>
        </w:tc>
        <w:tc>
          <w:tcPr>
            <w:tcW w:w="1465" w:type="dxa"/>
            <w:vAlign w:val="center"/>
          </w:tcPr>
          <w:p w14:paraId="48DD9B76">
            <w:pPr>
              <w:jc w:val="center"/>
              <w:rPr>
                <w:rFonts w:ascii="Times New Roman" w:hAnsi="Times New Roman"/>
              </w:rPr>
            </w:pPr>
            <w:r>
              <w:rPr>
                <w:rFonts w:ascii="Times New Roman" w:hAnsi="Times New Roman"/>
              </w:rPr>
              <w:t>400-886-9200</w:t>
            </w:r>
          </w:p>
        </w:tc>
      </w:tr>
      <w:bookmarkEnd w:id="54"/>
      <w:tr w14:paraId="0A83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483" w:type="dxa"/>
            <w:vAlign w:val="center"/>
          </w:tcPr>
          <w:p w14:paraId="5821FD2B">
            <w:pPr>
              <w:jc w:val="center"/>
              <w:rPr>
                <w:rFonts w:ascii="Times New Roman" w:hAnsi="Times New Roman"/>
                <w:color w:val="000000"/>
                <w:sz w:val="24"/>
              </w:rPr>
            </w:pPr>
            <w:r>
              <w:rPr>
                <w:rFonts w:ascii="Times New Roman" w:hAnsi="Times New Roman"/>
                <w:color w:val="000000"/>
                <w:sz w:val="24"/>
              </w:rPr>
              <w:t>5</w:t>
            </w:r>
          </w:p>
        </w:tc>
        <w:tc>
          <w:tcPr>
            <w:tcW w:w="3695" w:type="dxa"/>
            <w:vAlign w:val="center"/>
          </w:tcPr>
          <w:p w14:paraId="463F3827">
            <w:pPr>
              <w:jc w:val="center"/>
              <w:rPr>
                <w:rFonts w:ascii="Times New Roman" w:hAnsi="Times New Roman"/>
              </w:rPr>
            </w:pPr>
            <w:r>
              <w:rPr>
                <w:rFonts w:ascii="Times New Roman" w:hAnsi="Times New Roman"/>
              </w:rPr>
              <w:drawing>
                <wp:inline distT="0" distB="0" distL="0" distR="0">
                  <wp:extent cx="1830070" cy="409575"/>
                  <wp:effectExtent l="0" t="0" r="0" b="9525"/>
                  <wp:docPr id="273" name="图片 273" descr="D:\WeChat Files\wxid_q40t9lpb7vm521\FileStorage\Temp\7fde6c159149a2262c883ab88d816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descr="D:\WeChat Files\wxid_q40t9lpb7vm521\FileStorage\Temp\7fde6c159149a2262c883ab88d8168b.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838375" cy="411931"/>
                          </a:xfrm>
                          <a:prstGeom prst="rect">
                            <a:avLst/>
                          </a:prstGeom>
                          <a:noFill/>
                          <a:ln>
                            <a:noFill/>
                          </a:ln>
                        </pic:spPr>
                      </pic:pic>
                    </a:graphicData>
                  </a:graphic>
                </wp:inline>
              </w:drawing>
            </w:r>
          </w:p>
          <w:p w14:paraId="3FFA6F5A">
            <w:pPr>
              <w:jc w:val="center"/>
              <w:rPr>
                <w:rFonts w:ascii="Times New Roman" w:hAnsi="Times New Roman"/>
              </w:rPr>
            </w:pPr>
            <w:r>
              <w:rPr>
                <w:rFonts w:ascii="Times New Roman" w:hAnsi="Times New Roman"/>
              </w:rPr>
              <w:t>广州天河区越服房地产经纪有限公司</w:t>
            </w:r>
          </w:p>
          <w:p w14:paraId="0FDA5F63">
            <w:pPr>
              <w:jc w:val="center"/>
              <w:rPr>
                <w:rFonts w:ascii="Times New Roman" w:hAnsi="Times New Roman"/>
              </w:rPr>
            </w:pPr>
            <w:r>
              <w:rPr>
                <w:rFonts w:ascii="Times New Roman" w:hAnsi="Times New Roman"/>
              </w:rPr>
              <w:t>（直营）</w:t>
            </w:r>
          </w:p>
        </w:tc>
        <w:tc>
          <w:tcPr>
            <w:tcW w:w="873" w:type="dxa"/>
            <w:vAlign w:val="center"/>
          </w:tcPr>
          <w:p w14:paraId="1B255908">
            <w:pPr>
              <w:jc w:val="center"/>
              <w:rPr>
                <w:rFonts w:ascii="Times New Roman" w:hAnsi="Times New Roman"/>
              </w:rPr>
            </w:pPr>
            <w:r>
              <w:rPr>
                <w:rFonts w:ascii="Times New Roman" w:hAnsi="Times New Roman"/>
              </w:rPr>
              <w:t>14</w:t>
            </w:r>
          </w:p>
        </w:tc>
        <w:tc>
          <w:tcPr>
            <w:tcW w:w="873" w:type="dxa"/>
            <w:vAlign w:val="center"/>
          </w:tcPr>
          <w:p w14:paraId="6F61CAAA">
            <w:pPr>
              <w:jc w:val="center"/>
              <w:rPr>
                <w:rFonts w:ascii="Times New Roman" w:hAnsi="Times New Roman"/>
              </w:rPr>
            </w:pPr>
            <w:r>
              <w:rPr>
                <w:rFonts w:ascii="Times New Roman" w:hAnsi="Times New Roman"/>
              </w:rPr>
              <w:t>23</w:t>
            </w:r>
          </w:p>
        </w:tc>
        <w:tc>
          <w:tcPr>
            <w:tcW w:w="981" w:type="dxa"/>
            <w:vAlign w:val="center"/>
          </w:tcPr>
          <w:p w14:paraId="04F2A704">
            <w:pPr>
              <w:jc w:val="center"/>
              <w:rPr>
                <w:rFonts w:ascii="Times New Roman" w:hAnsi="Times New Roman"/>
              </w:rPr>
            </w:pPr>
            <w:r>
              <w:rPr>
                <w:rFonts w:ascii="Times New Roman" w:hAnsi="Times New Roman"/>
              </w:rPr>
              <w:t>91.00</w:t>
            </w:r>
          </w:p>
        </w:tc>
        <w:tc>
          <w:tcPr>
            <w:tcW w:w="981" w:type="dxa"/>
            <w:vAlign w:val="center"/>
          </w:tcPr>
          <w:p w14:paraId="06BA0371">
            <w:pPr>
              <w:jc w:val="center"/>
              <w:rPr>
                <w:rFonts w:ascii="Times New Roman" w:hAnsi="Times New Roman"/>
              </w:rPr>
            </w:pPr>
            <w:r>
              <w:rPr>
                <w:rFonts w:ascii="Times New Roman" w:hAnsi="Times New Roman"/>
              </w:rPr>
              <w:t>诚信</w:t>
            </w:r>
          </w:p>
        </w:tc>
        <w:tc>
          <w:tcPr>
            <w:tcW w:w="684" w:type="dxa"/>
            <w:vAlign w:val="center"/>
          </w:tcPr>
          <w:p w14:paraId="0BF3827D">
            <w:pPr>
              <w:jc w:val="center"/>
              <w:rPr>
                <w:rFonts w:ascii="Times New Roman" w:hAnsi="Times New Roman"/>
              </w:rPr>
            </w:pPr>
            <w:r>
              <w:rPr>
                <w:rFonts w:hint="eastAsia" w:ascii="Times New Roman" w:hAnsi="Times New Roman"/>
              </w:rPr>
              <w:t>3</w:t>
            </w:r>
            <w:r>
              <w:rPr>
                <w:rFonts w:ascii="Times New Roman" w:hAnsi="Times New Roman"/>
              </w:rPr>
              <w:t>年</w:t>
            </w:r>
          </w:p>
        </w:tc>
        <w:tc>
          <w:tcPr>
            <w:tcW w:w="1465" w:type="dxa"/>
            <w:vAlign w:val="center"/>
          </w:tcPr>
          <w:p w14:paraId="786C435B">
            <w:pPr>
              <w:jc w:val="center"/>
              <w:rPr>
                <w:rFonts w:ascii="Times New Roman" w:hAnsi="Times New Roman"/>
              </w:rPr>
            </w:pPr>
            <w:r>
              <w:rPr>
                <w:rFonts w:ascii="Times New Roman" w:hAnsi="Times New Roman"/>
              </w:rPr>
              <w:t>020-36088809</w:t>
            </w:r>
          </w:p>
        </w:tc>
      </w:tr>
      <w:tr w14:paraId="0E68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83" w:type="dxa"/>
            <w:vAlign w:val="center"/>
          </w:tcPr>
          <w:p w14:paraId="59919D6E">
            <w:pPr>
              <w:jc w:val="center"/>
              <w:rPr>
                <w:rFonts w:ascii="Times New Roman" w:hAnsi="Times New Roman"/>
                <w:color w:val="000000"/>
                <w:sz w:val="24"/>
              </w:rPr>
            </w:pPr>
            <w:bookmarkStart w:id="55" w:name="_Hlk191384635"/>
            <w:r>
              <w:rPr>
                <w:rFonts w:ascii="Times New Roman" w:hAnsi="Times New Roman"/>
                <w:color w:val="000000"/>
                <w:sz w:val="24"/>
              </w:rPr>
              <w:t>6</w:t>
            </w:r>
          </w:p>
        </w:tc>
        <w:tc>
          <w:tcPr>
            <w:tcW w:w="3695" w:type="dxa"/>
            <w:vAlign w:val="center"/>
          </w:tcPr>
          <w:p w14:paraId="1840C138">
            <w:pPr>
              <w:jc w:val="center"/>
              <w:rPr>
                <w:rFonts w:ascii="Times New Roman" w:hAnsi="Times New Roman"/>
              </w:rPr>
            </w:pPr>
            <w:r>
              <w:rPr>
                <w:rFonts w:ascii="Times New Roman" w:hAnsi="Times New Roman"/>
              </w:rPr>
              <w:drawing>
                <wp:inline distT="0" distB="0" distL="0" distR="0">
                  <wp:extent cx="975360" cy="567055"/>
                  <wp:effectExtent l="0" t="0" r="0" b="4445"/>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975360" cy="567055"/>
                          </a:xfrm>
                          <a:prstGeom prst="rect">
                            <a:avLst/>
                          </a:prstGeom>
                          <a:noFill/>
                        </pic:spPr>
                      </pic:pic>
                    </a:graphicData>
                  </a:graphic>
                </wp:inline>
              </w:drawing>
            </w:r>
          </w:p>
          <w:p w14:paraId="0F7756CA">
            <w:pPr>
              <w:jc w:val="center"/>
              <w:rPr>
                <w:rFonts w:ascii="Times New Roman" w:hAnsi="Times New Roman"/>
              </w:rPr>
            </w:pPr>
            <w:r>
              <w:rPr>
                <w:rFonts w:ascii="Times New Roman" w:hAnsi="Times New Roman"/>
              </w:rPr>
              <w:t>广州裕隆房地产销售代理有限公司</w:t>
            </w:r>
          </w:p>
          <w:p w14:paraId="5AB4336D">
            <w:pPr>
              <w:jc w:val="center"/>
              <w:rPr>
                <w:rFonts w:ascii="Times New Roman" w:hAnsi="Times New Roman"/>
              </w:rPr>
            </w:pPr>
            <w:r>
              <w:rPr>
                <w:rFonts w:ascii="Times New Roman" w:hAnsi="Times New Roman"/>
              </w:rPr>
              <w:t>（直营）</w:t>
            </w:r>
          </w:p>
        </w:tc>
        <w:tc>
          <w:tcPr>
            <w:tcW w:w="873" w:type="dxa"/>
            <w:vAlign w:val="center"/>
          </w:tcPr>
          <w:p w14:paraId="3446AE67">
            <w:pPr>
              <w:jc w:val="center"/>
              <w:rPr>
                <w:rFonts w:ascii="Times New Roman" w:hAnsi="Times New Roman"/>
              </w:rPr>
            </w:pPr>
            <w:r>
              <w:rPr>
                <w:rFonts w:ascii="Times New Roman" w:hAnsi="Times New Roman"/>
              </w:rPr>
              <w:t>390</w:t>
            </w:r>
          </w:p>
        </w:tc>
        <w:tc>
          <w:tcPr>
            <w:tcW w:w="873" w:type="dxa"/>
            <w:vAlign w:val="center"/>
          </w:tcPr>
          <w:p w14:paraId="29C5AB63">
            <w:pPr>
              <w:jc w:val="center"/>
              <w:rPr>
                <w:rFonts w:ascii="Times New Roman" w:hAnsi="Times New Roman"/>
              </w:rPr>
            </w:pPr>
            <w:r>
              <w:rPr>
                <w:rFonts w:ascii="Times New Roman" w:hAnsi="Times New Roman"/>
              </w:rPr>
              <w:t>247</w:t>
            </w:r>
          </w:p>
        </w:tc>
        <w:tc>
          <w:tcPr>
            <w:tcW w:w="981" w:type="dxa"/>
            <w:vAlign w:val="center"/>
          </w:tcPr>
          <w:p w14:paraId="40EEC569">
            <w:pPr>
              <w:jc w:val="center"/>
              <w:rPr>
                <w:rFonts w:ascii="Times New Roman" w:hAnsi="Times New Roman"/>
              </w:rPr>
            </w:pPr>
            <w:r>
              <w:rPr>
                <w:rFonts w:ascii="Times New Roman" w:hAnsi="Times New Roman"/>
              </w:rPr>
              <w:t>85.07</w:t>
            </w:r>
          </w:p>
        </w:tc>
        <w:tc>
          <w:tcPr>
            <w:tcW w:w="981" w:type="dxa"/>
            <w:vAlign w:val="center"/>
          </w:tcPr>
          <w:p w14:paraId="2084FC03">
            <w:pPr>
              <w:jc w:val="center"/>
              <w:rPr>
                <w:rFonts w:ascii="Times New Roman" w:hAnsi="Times New Roman"/>
              </w:rPr>
            </w:pPr>
            <w:r>
              <w:rPr>
                <w:rFonts w:ascii="Times New Roman" w:hAnsi="Times New Roman"/>
              </w:rPr>
              <w:t>诚信</w:t>
            </w:r>
          </w:p>
        </w:tc>
        <w:tc>
          <w:tcPr>
            <w:tcW w:w="684" w:type="dxa"/>
            <w:vAlign w:val="center"/>
          </w:tcPr>
          <w:p w14:paraId="1F2D5EDC">
            <w:pPr>
              <w:jc w:val="center"/>
              <w:rPr>
                <w:rFonts w:ascii="Times New Roman" w:hAnsi="Times New Roman"/>
              </w:rPr>
            </w:pPr>
            <w:r>
              <w:rPr>
                <w:rFonts w:hint="eastAsia" w:ascii="Times New Roman" w:hAnsi="Times New Roman"/>
              </w:rPr>
              <w:t>30</w:t>
            </w:r>
            <w:r>
              <w:rPr>
                <w:rFonts w:ascii="Times New Roman" w:hAnsi="Times New Roman"/>
              </w:rPr>
              <w:t>年</w:t>
            </w:r>
          </w:p>
        </w:tc>
        <w:tc>
          <w:tcPr>
            <w:tcW w:w="1465" w:type="dxa"/>
            <w:vAlign w:val="center"/>
          </w:tcPr>
          <w:p w14:paraId="338257CA">
            <w:pPr>
              <w:jc w:val="center"/>
              <w:rPr>
                <w:rFonts w:ascii="Times New Roman" w:hAnsi="Times New Roman"/>
              </w:rPr>
            </w:pPr>
            <w:r>
              <w:rPr>
                <w:rFonts w:ascii="Times New Roman" w:hAnsi="Times New Roman"/>
              </w:rPr>
              <w:t>400-830-0848</w:t>
            </w:r>
          </w:p>
        </w:tc>
      </w:tr>
      <w:bookmarkEnd w:id="55"/>
      <w:tr w14:paraId="467A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3" w:type="dxa"/>
            <w:vAlign w:val="center"/>
          </w:tcPr>
          <w:p w14:paraId="0211FC83">
            <w:pPr>
              <w:jc w:val="center"/>
              <w:rPr>
                <w:rFonts w:ascii="Times New Roman" w:hAnsi="Times New Roman"/>
                <w:color w:val="000000"/>
                <w:sz w:val="24"/>
              </w:rPr>
            </w:pPr>
            <w:r>
              <w:rPr>
                <w:rFonts w:ascii="Times New Roman" w:hAnsi="Times New Roman"/>
                <w:color w:val="000000"/>
                <w:sz w:val="24"/>
              </w:rPr>
              <w:t>7</w:t>
            </w:r>
          </w:p>
        </w:tc>
        <w:tc>
          <w:tcPr>
            <w:tcW w:w="3695" w:type="dxa"/>
            <w:vAlign w:val="center"/>
          </w:tcPr>
          <w:p w14:paraId="288DD15B">
            <w:pPr>
              <w:jc w:val="center"/>
              <w:rPr>
                <w:rFonts w:ascii="Times New Roman" w:hAnsi="Times New Roman"/>
              </w:rPr>
            </w:pPr>
            <w:r>
              <w:rPr>
                <w:rFonts w:ascii="Times New Roman" w:hAnsi="Times New Roman"/>
              </w:rPr>
              <w:drawing>
                <wp:inline distT="0" distB="0" distL="0" distR="0">
                  <wp:extent cx="1748790" cy="500380"/>
                  <wp:effectExtent l="0" t="0" r="0" b="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pic:cNvPicPr>
                            <a:picLocks noChangeAspect="1" noChangeArrowheads="1"/>
                          </pic:cNvPicPr>
                        </pic:nvPicPr>
                        <pic:blipFill>
                          <a:blip r:embed="rId30">
                            <a:extLst>
                              <a:ext uri="{28A0092B-C50C-407E-A947-70E740481C1C}">
                                <a14:useLocalDpi xmlns:a14="http://schemas.microsoft.com/office/drawing/2010/main" val="0"/>
                              </a:ext>
                            </a:extLst>
                          </a:blip>
                          <a:srcRect t="17809" b="12068"/>
                          <a:stretch>
                            <a:fillRect/>
                          </a:stretch>
                        </pic:blipFill>
                        <pic:spPr>
                          <a:xfrm>
                            <a:off x="0" y="0"/>
                            <a:ext cx="1751446" cy="501550"/>
                          </a:xfrm>
                          <a:prstGeom prst="rect">
                            <a:avLst/>
                          </a:prstGeom>
                          <a:noFill/>
                          <a:ln>
                            <a:noFill/>
                          </a:ln>
                        </pic:spPr>
                      </pic:pic>
                    </a:graphicData>
                  </a:graphic>
                </wp:inline>
              </w:drawing>
            </w:r>
          </w:p>
          <w:p w14:paraId="56278D8E">
            <w:pPr>
              <w:jc w:val="center"/>
              <w:rPr>
                <w:rFonts w:ascii="Times New Roman" w:hAnsi="Times New Roman"/>
              </w:rPr>
            </w:pPr>
            <w:r>
              <w:rPr>
                <w:rFonts w:ascii="Times New Roman" w:hAnsi="Times New Roman"/>
              </w:rPr>
              <w:t>广东德诚行地产集团有限公司</w:t>
            </w:r>
          </w:p>
          <w:p w14:paraId="486379BA">
            <w:pPr>
              <w:jc w:val="center"/>
              <w:rPr>
                <w:rFonts w:ascii="Times New Roman" w:hAnsi="Times New Roman"/>
              </w:rPr>
            </w:pPr>
            <w:r>
              <w:rPr>
                <w:rFonts w:ascii="Times New Roman" w:hAnsi="Times New Roman"/>
              </w:rPr>
              <w:t>（直营）</w:t>
            </w:r>
          </w:p>
        </w:tc>
        <w:tc>
          <w:tcPr>
            <w:tcW w:w="873" w:type="dxa"/>
            <w:vAlign w:val="center"/>
          </w:tcPr>
          <w:p w14:paraId="1C246843">
            <w:pPr>
              <w:jc w:val="center"/>
              <w:rPr>
                <w:rFonts w:ascii="Times New Roman" w:hAnsi="Times New Roman"/>
              </w:rPr>
            </w:pPr>
            <w:r>
              <w:rPr>
                <w:rFonts w:ascii="Times New Roman" w:hAnsi="Times New Roman"/>
              </w:rPr>
              <w:t>48</w:t>
            </w:r>
          </w:p>
        </w:tc>
        <w:tc>
          <w:tcPr>
            <w:tcW w:w="873" w:type="dxa"/>
            <w:vAlign w:val="center"/>
          </w:tcPr>
          <w:p w14:paraId="73473E82">
            <w:pPr>
              <w:jc w:val="center"/>
              <w:rPr>
                <w:rFonts w:ascii="Times New Roman" w:hAnsi="Times New Roman"/>
              </w:rPr>
            </w:pPr>
            <w:r>
              <w:rPr>
                <w:rFonts w:ascii="Times New Roman" w:hAnsi="Times New Roman"/>
              </w:rPr>
              <w:t>21</w:t>
            </w:r>
          </w:p>
        </w:tc>
        <w:tc>
          <w:tcPr>
            <w:tcW w:w="981" w:type="dxa"/>
            <w:vAlign w:val="center"/>
          </w:tcPr>
          <w:p w14:paraId="3C376BB1">
            <w:pPr>
              <w:jc w:val="center"/>
              <w:rPr>
                <w:rFonts w:ascii="Times New Roman" w:hAnsi="Times New Roman"/>
              </w:rPr>
            </w:pPr>
            <w:r>
              <w:rPr>
                <w:rFonts w:ascii="Times New Roman" w:hAnsi="Times New Roman"/>
              </w:rPr>
              <w:t>83.02</w:t>
            </w:r>
          </w:p>
        </w:tc>
        <w:tc>
          <w:tcPr>
            <w:tcW w:w="981" w:type="dxa"/>
            <w:vAlign w:val="center"/>
          </w:tcPr>
          <w:p w14:paraId="1F7C13B3">
            <w:pPr>
              <w:jc w:val="center"/>
              <w:rPr>
                <w:rFonts w:ascii="Times New Roman" w:hAnsi="Times New Roman"/>
              </w:rPr>
            </w:pPr>
            <w:r>
              <w:rPr>
                <w:rFonts w:ascii="Times New Roman" w:hAnsi="Times New Roman"/>
              </w:rPr>
              <w:t>诚信</w:t>
            </w:r>
          </w:p>
        </w:tc>
        <w:tc>
          <w:tcPr>
            <w:tcW w:w="684" w:type="dxa"/>
            <w:vAlign w:val="center"/>
          </w:tcPr>
          <w:p w14:paraId="4526CD5C">
            <w:pPr>
              <w:jc w:val="center"/>
              <w:rPr>
                <w:rFonts w:ascii="Times New Roman" w:hAnsi="Times New Roman"/>
              </w:rPr>
            </w:pPr>
            <w:r>
              <w:rPr>
                <w:rFonts w:ascii="Times New Roman" w:hAnsi="Times New Roman"/>
              </w:rPr>
              <w:t>2</w:t>
            </w:r>
            <w:r>
              <w:rPr>
                <w:rFonts w:hint="eastAsia" w:ascii="Times New Roman" w:hAnsi="Times New Roman"/>
              </w:rPr>
              <w:t>9</w:t>
            </w:r>
            <w:r>
              <w:rPr>
                <w:rFonts w:ascii="Times New Roman" w:hAnsi="Times New Roman"/>
              </w:rPr>
              <w:t>年</w:t>
            </w:r>
          </w:p>
        </w:tc>
        <w:tc>
          <w:tcPr>
            <w:tcW w:w="1465" w:type="dxa"/>
            <w:vAlign w:val="center"/>
          </w:tcPr>
          <w:p w14:paraId="1DAC85B6">
            <w:pPr>
              <w:jc w:val="center"/>
              <w:rPr>
                <w:rFonts w:ascii="Times New Roman" w:hAnsi="Times New Roman"/>
              </w:rPr>
            </w:pPr>
            <w:r>
              <w:rPr>
                <w:rFonts w:ascii="Times New Roman" w:hAnsi="Times New Roman"/>
              </w:rPr>
              <w:t>400-626-8300</w:t>
            </w:r>
          </w:p>
        </w:tc>
      </w:tr>
      <w:tr w14:paraId="4040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483" w:type="dxa"/>
            <w:vAlign w:val="center"/>
          </w:tcPr>
          <w:p w14:paraId="7FA33C4F">
            <w:pPr>
              <w:jc w:val="center"/>
              <w:rPr>
                <w:rFonts w:ascii="Times New Roman" w:hAnsi="Times New Roman"/>
                <w:color w:val="000000"/>
                <w:sz w:val="24"/>
              </w:rPr>
            </w:pPr>
            <w:bookmarkStart w:id="56" w:name="_Hlk191384700"/>
            <w:r>
              <w:rPr>
                <w:rFonts w:ascii="Times New Roman" w:hAnsi="Times New Roman"/>
                <w:color w:val="000000"/>
                <w:sz w:val="24"/>
              </w:rPr>
              <w:t>8</w:t>
            </w:r>
          </w:p>
        </w:tc>
        <w:tc>
          <w:tcPr>
            <w:tcW w:w="3695" w:type="dxa"/>
            <w:vAlign w:val="center"/>
          </w:tcPr>
          <w:p w14:paraId="0C7312AB">
            <w:pPr>
              <w:jc w:val="center"/>
              <w:rPr>
                <w:rFonts w:ascii="Times New Roman" w:hAnsi="Times New Roman"/>
              </w:rPr>
            </w:pPr>
            <w:r>
              <w:rPr>
                <w:rFonts w:ascii="Times New Roman" w:hAnsi="Times New Roman"/>
              </w:rPr>
              <w:drawing>
                <wp:inline distT="0" distB="0" distL="0" distR="0">
                  <wp:extent cx="1249680" cy="64643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249680" cy="646430"/>
                          </a:xfrm>
                          <a:prstGeom prst="rect">
                            <a:avLst/>
                          </a:prstGeom>
                          <a:noFill/>
                        </pic:spPr>
                      </pic:pic>
                    </a:graphicData>
                  </a:graphic>
                </wp:inline>
              </w:drawing>
            </w:r>
          </w:p>
          <w:p w14:paraId="4DB06A13">
            <w:pPr>
              <w:jc w:val="center"/>
              <w:rPr>
                <w:rFonts w:ascii="Times New Roman" w:hAnsi="Times New Roman"/>
              </w:rPr>
            </w:pPr>
            <w:r>
              <w:rPr>
                <w:rFonts w:ascii="Times New Roman" w:hAnsi="Times New Roman"/>
              </w:rPr>
              <w:t>住天下（广州）不动产经营有限公司</w:t>
            </w:r>
          </w:p>
          <w:p w14:paraId="4C6D5980">
            <w:pPr>
              <w:jc w:val="center"/>
              <w:rPr>
                <w:rFonts w:ascii="Times New Roman" w:hAnsi="Times New Roman"/>
              </w:rPr>
            </w:pPr>
            <w:r>
              <w:rPr>
                <w:rFonts w:ascii="Times New Roman" w:hAnsi="Times New Roman"/>
              </w:rPr>
              <w:t>（直营+加盟）</w:t>
            </w:r>
          </w:p>
        </w:tc>
        <w:tc>
          <w:tcPr>
            <w:tcW w:w="873" w:type="dxa"/>
            <w:vAlign w:val="center"/>
          </w:tcPr>
          <w:p w14:paraId="3D2CA94E">
            <w:pPr>
              <w:jc w:val="center"/>
              <w:rPr>
                <w:rFonts w:ascii="Times New Roman" w:hAnsi="Times New Roman"/>
              </w:rPr>
            </w:pPr>
            <w:r>
              <w:rPr>
                <w:rFonts w:ascii="Times New Roman" w:hAnsi="Times New Roman"/>
              </w:rPr>
              <w:t>54</w:t>
            </w:r>
          </w:p>
        </w:tc>
        <w:tc>
          <w:tcPr>
            <w:tcW w:w="873" w:type="dxa"/>
            <w:vAlign w:val="center"/>
          </w:tcPr>
          <w:p w14:paraId="430BC601">
            <w:pPr>
              <w:jc w:val="center"/>
              <w:rPr>
                <w:rFonts w:ascii="Times New Roman" w:hAnsi="Times New Roman"/>
              </w:rPr>
            </w:pPr>
            <w:r>
              <w:rPr>
                <w:rFonts w:ascii="Times New Roman" w:hAnsi="Times New Roman"/>
              </w:rPr>
              <w:t>84</w:t>
            </w:r>
          </w:p>
        </w:tc>
        <w:tc>
          <w:tcPr>
            <w:tcW w:w="981" w:type="dxa"/>
            <w:vAlign w:val="center"/>
          </w:tcPr>
          <w:p w14:paraId="396FE5B4">
            <w:pPr>
              <w:jc w:val="center"/>
              <w:rPr>
                <w:rFonts w:ascii="Times New Roman" w:hAnsi="Times New Roman"/>
              </w:rPr>
            </w:pPr>
            <w:r>
              <w:rPr>
                <w:rFonts w:ascii="Times New Roman" w:hAnsi="Times New Roman"/>
              </w:rPr>
              <w:t>74.03</w:t>
            </w:r>
          </w:p>
        </w:tc>
        <w:tc>
          <w:tcPr>
            <w:tcW w:w="981" w:type="dxa"/>
            <w:vAlign w:val="center"/>
          </w:tcPr>
          <w:p w14:paraId="24803F1E">
            <w:pPr>
              <w:jc w:val="center"/>
              <w:rPr>
                <w:rFonts w:ascii="Times New Roman" w:hAnsi="Times New Roman"/>
              </w:rPr>
            </w:pPr>
            <w:r>
              <w:rPr>
                <w:rFonts w:ascii="Times New Roman" w:hAnsi="Times New Roman"/>
              </w:rPr>
              <w:t>诚信</w:t>
            </w:r>
          </w:p>
        </w:tc>
        <w:tc>
          <w:tcPr>
            <w:tcW w:w="684" w:type="dxa"/>
            <w:vAlign w:val="center"/>
          </w:tcPr>
          <w:p w14:paraId="055CC127">
            <w:pPr>
              <w:jc w:val="center"/>
              <w:rPr>
                <w:rFonts w:ascii="Times New Roman" w:hAnsi="Times New Roman"/>
              </w:rPr>
            </w:pPr>
            <w:r>
              <w:rPr>
                <w:rFonts w:hint="eastAsia" w:ascii="Times New Roman" w:hAnsi="Times New Roman"/>
              </w:rPr>
              <w:t>6</w:t>
            </w:r>
            <w:r>
              <w:rPr>
                <w:rFonts w:ascii="Times New Roman" w:hAnsi="Times New Roman"/>
              </w:rPr>
              <w:t>年</w:t>
            </w:r>
          </w:p>
        </w:tc>
        <w:tc>
          <w:tcPr>
            <w:tcW w:w="1465" w:type="dxa"/>
            <w:vAlign w:val="center"/>
          </w:tcPr>
          <w:p w14:paraId="605C36D3">
            <w:pPr>
              <w:jc w:val="center"/>
              <w:rPr>
                <w:rFonts w:ascii="Times New Roman" w:hAnsi="Times New Roman"/>
              </w:rPr>
            </w:pPr>
            <w:r>
              <w:rPr>
                <w:rFonts w:ascii="Times New Roman" w:hAnsi="Times New Roman"/>
              </w:rPr>
              <w:t>15622900658</w:t>
            </w:r>
          </w:p>
        </w:tc>
      </w:tr>
      <w:bookmarkEnd w:id="56"/>
      <w:tr w14:paraId="6509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3" w:type="dxa"/>
            <w:vAlign w:val="center"/>
          </w:tcPr>
          <w:p w14:paraId="6A5FBEE0">
            <w:pPr>
              <w:jc w:val="center"/>
              <w:rPr>
                <w:rFonts w:ascii="Times New Roman" w:hAnsi="Times New Roman"/>
                <w:color w:val="000000"/>
                <w:sz w:val="24"/>
              </w:rPr>
            </w:pPr>
            <w:r>
              <w:rPr>
                <w:rFonts w:ascii="Times New Roman" w:hAnsi="Times New Roman"/>
                <w:color w:val="000000"/>
                <w:sz w:val="24"/>
              </w:rPr>
              <w:t>9</w:t>
            </w:r>
          </w:p>
        </w:tc>
        <w:tc>
          <w:tcPr>
            <w:tcW w:w="3695" w:type="dxa"/>
            <w:vAlign w:val="center"/>
          </w:tcPr>
          <w:p w14:paraId="7C4D5510">
            <w:pPr>
              <w:jc w:val="center"/>
              <w:rPr>
                <w:rFonts w:ascii="Times New Roman" w:hAnsi="Times New Roman"/>
                <w:color w:val="000000"/>
                <w:szCs w:val="21"/>
              </w:rPr>
            </w:pPr>
            <w:r>
              <w:rPr>
                <w:rFonts w:ascii="Times New Roman" w:hAnsi="Times New Roman"/>
                <w:color w:val="000000"/>
                <w:szCs w:val="21"/>
              </w:rPr>
              <w:drawing>
                <wp:inline distT="0" distB="0" distL="0" distR="0">
                  <wp:extent cx="1420495" cy="487680"/>
                  <wp:effectExtent l="0" t="0" r="8255" b="762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420495" cy="487680"/>
                          </a:xfrm>
                          <a:prstGeom prst="rect">
                            <a:avLst/>
                          </a:prstGeom>
                          <a:noFill/>
                        </pic:spPr>
                      </pic:pic>
                    </a:graphicData>
                  </a:graphic>
                </wp:inline>
              </w:drawing>
            </w:r>
          </w:p>
          <w:p w14:paraId="164C3DE2">
            <w:pPr>
              <w:jc w:val="center"/>
              <w:rPr>
                <w:rFonts w:ascii="Times New Roman" w:hAnsi="Times New Roman"/>
                <w:color w:val="000000"/>
                <w:szCs w:val="21"/>
              </w:rPr>
            </w:pPr>
            <w:r>
              <w:rPr>
                <w:rFonts w:ascii="Times New Roman" w:hAnsi="Times New Roman"/>
                <w:color w:val="000000"/>
                <w:szCs w:val="21"/>
              </w:rPr>
              <w:t>广州市置家房地产代理有限公司</w:t>
            </w:r>
          </w:p>
          <w:p w14:paraId="393498F0">
            <w:pPr>
              <w:jc w:val="center"/>
              <w:rPr>
                <w:rFonts w:ascii="Times New Roman" w:hAnsi="Times New Roman"/>
                <w:color w:val="000000"/>
                <w:szCs w:val="21"/>
              </w:rPr>
            </w:pPr>
            <w:r>
              <w:rPr>
                <w:rFonts w:ascii="Times New Roman" w:hAnsi="Times New Roman"/>
                <w:color w:val="000000"/>
                <w:szCs w:val="21"/>
              </w:rPr>
              <w:t>（直营+加盟）</w:t>
            </w:r>
          </w:p>
        </w:tc>
        <w:tc>
          <w:tcPr>
            <w:tcW w:w="873" w:type="dxa"/>
            <w:vAlign w:val="center"/>
          </w:tcPr>
          <w:p w14:paraId="69986106">
            <w:pPr>
              <w:jc w:val="center"/>
              <w:rPr>
                <w:rFonts w:ascii="Times New Roman" w:hAnsi="Times New Roman"/>
                <w:color w:val="000000"/>
                <w:szCs w:val="21"/>
              </w:rPr>
            </w:pPr>
            <w:r>
              <w:rPr>
                <w:rFonts w:ascii="Times New Roman" w:hAnsi="Times New Roman"/>
                <w:color w:val="000000"/>
                <w:szCs w:val="21"/>
              </w:rPr>
              <w:t>210</w:t>
            </w:r>
          </w:p>
        </w:tc>
        <w:tc>
          <w:tcPr>
            <w:tcW w:w="873" w:type="dxa"/>
            <w:vAlign w:val="center"/>
          </w:tcPr>
          <w:p w14:paraId="1188AD4C">
            <w:pPr>
              <w:jc w:val="center"/>
              <w:rPr>
                <w:rFonts w:ascii="Times New Roman" w:hAnsi="Times New Roman"/>
                <w:color w:val="000000"/>
                <w:szCs w:val="21"/>
              </w:rPr>
            </w:pPr>
            <w:r>
              <w:rPr>
                <w:rFonts w:ascii="Times New Roman" w:hAnsi="Times New Roman"/>
                <w:color w:val="000000"/>
                <w:szCs w:val="21"/>
              </w:rPr>
              <w:t>241</w:t>
            </w:r>
          </w:p>
        </w:tc>
        <w:tc>
          <w:tcPr>
            <w:tcW w:w="981" w:type="dxa"/>
            <w:vAlign w:val="center"/>
          </w:tcPr>
          <w:p w14:paraId="23BD7228">
            <w:pPr>
              <w:jc w:val="center"/>
              <w:rPr>
                <w:rFonts w:ascii="Times New Roman" w:hAnsi="Times New Roman"/>
                <w:color w:val="000000"/>
                <w:szCs w:val="21"/>
              </w:rPr>
            </w:pPr>
            <w:r>
              <w:rPr>
                <w:rFonts w:ascii="Times New Roman" w:hAnsi="Times New Roman"/>
                <w:color w:val="000000"/>
                <w:szCs w:val="21"/>
              </w:rPr>
              <w:t>73.85</w:t>
            </w:r>
          </w:p>
        </w:tc>
        <w:tc>
          <w:tcPr>
            <w:tcW w:w="981" w:type="dxa"/>
            <w:vAlign w:val="center"/>
          </w:tcPr>
          <w:p w14:paraId="286980DA">
            <w:pPr>
              <w:jc w:val="center"/>
              <w:rPr>
                <w:rFonts w:ascii="Times New Roman" w:hAnsi="Times New Roman"/>
                <w:color w:val="000000"/>
                <w:szCs w:val="21"/>
              </w:rPr>
            </w:pPr>
            <w:r>
              <w:rPr>
                <w:rFonts w:ascii="Times New Roman" w:hAnsi="Times New Roman"/>
                <w:color w:val="000000"/>
                <w:szCs w:val="21"/>
              </w:rPr>
              <w:t>诚信</w:t>
            </w:r>
          </w:p>
        </w:tc>
        <w:tc>
          <w:tcPr>
            <w:tcW w:w="684" w:type="dxa"/>
            <w:vAlign w:val="center"/>
          </w:tcPr>
          <w:p w14:paraId="33D7D44D">
            <w:pPr>
              <w:jc w:val="cente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8</w:t>
            </w:r>
            <w:r>
              <w:rPr>
                <w:rFonts w:ascii="Times New Roman" w:hAnsi="Times New Roman"/>
                <w:color w:val="000000"/>
                <w:szCs w:val="21"/>
              </w:rPr>
              <w:t>年</w:t>
            </w:r>
          </w:p>
        </w:tc>
        <w:tc>
          <w:tcPr>
            <w:tcW w:w="1465" w:type="dxa"/>
            <w:vAlign w:val="center"/>
          </w:tcPr>
          <w:p w14:paraId="2BB40FE2">
            <w:pPr>
              <w:jc w:val="center"/>
              <w:rPr>
                <w:rFonts w:ascii="Times New Roman" w:hAnsi="Times New Roman"/>
                <w:color w:val="000000"/>
                <w:szCs w:val="21"/>
              </w:rPr>
            </w:pPr>
            <w:r>
              <w:rPr>
                <w:rFonts w:ascii="Times New Roman" w:hAnsi="Times New Roman"/>
                <w:color w:val="000000"/>
                <w:szCs w:val="21"/>
              </w:rPr>
              <w:t>400-830-3488</w:t>
            </w:r>
          </w:p>
        </w:tc>
      </w:tr>
      <w:tr w14:paraId="5021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3" w:type="dxa"/>
            <w:vAlign w:val="center"/>
          </w:tcPr>
          <w:p w14:paraId="05A00AF1">
            <w:pPr>
              <w:jc w:val="center"/>
              <w:rPr>
                <w:rFonts w:ascii="Times New Roman" w:hAnsi="Times New Roman"/>
                <w:color w:val="000000"/>
                <w:sz w:val="24"/>
              </w:rPr>
            </w:pPr>
            <w:bookmarkStart w:id="57" w:name="_Hlk191384773"/>
            <w:r>
              <w:rPr>
                <w:rFonts w:ascii="Times New Roman" w:hAnsi="Times New Roman"/>
                <w:color w:val="000000"/>
                <w:sz w:val="24"/>
              </w:rPr>
              <w:t>10</w:t>
            </w:r>
          </w:p>
        </w:tc>
        <w:tc>
          <w:tcPr>
            <w:tcW w:w="3695" w:type="dxa"/>
            <w:vAlign w:val="center"/>
          </w:tcPr>
          <w:p w14:paraId="0F095944">
            <w:pPr>
              <w:jc w:val="center"/>
              <w:rPr>
                <w:rFonts w:ascii="Times New Roman" w:hAnsi="Times New Roman"/>
                <w:color w:val="000000"/>
                <w:szCs w:val="21"/>
              </w:rPr>
            </w:pPr>
            <w:r>
              <w:rPr>
                <w:rFonts w:ascii="Times New Roman" w:hAnsi="Times New Roman"/>
                <w:color w:val="000000"/>
                <w:szCs w:val="21"/>
              </w:rPr>
              <w:drawing>
                <wp:inline distT="0" distB="0" distL="0" distR="0">
                  <wp:extent cx="1219200" cy="44513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219200" cy="445135"/>
                          </a:xfrm>
                          <a:prstGeom prst="rect">
                            <a:avLst/>
                          </a:prstGeom>
                          <a:noFill/>
                        </pic:spPr>
                      </pic:pic>
                    </a:graphicData>
                  </a:graphic>
                </wp:inline>
              </w:drawing>
            </w:r>
          </w:p>
          <w:p w14:paraId="3B081024">
            <w:pPr>
              <w:jc w:val="center"/>
              <w:rPr>
                <w:rFonts w:ascii="Times New Roman" w:hAnsi="Times New Roman"/>
                <w:color w:val="000000"/>
                <w:szCs w:val="21"/>
              </w:rPr>
            </w:pPr>
            <w:r>
              <w:rPr>
                <w:rFonts w:ascii="Times New Roman" w:hAnsi="Times New Roman"/>
                <w:color w:val="000000"/>
                <w:szCs w:val="21"/>
              </w:rPr>
              <w:t>德佑（天津）房地产经纪服务有限公司</w:t>
            </w:r>
          </w:p>
          <w:p w14:paraId="2924F87E">
            <w:pPr>
              <w:jc w:val="center"/>
              <w:rPr>
                <w:rFonts w:ascii="Times New Roman" w:hAnsi="Times New Roman"/>
                <w:color w:val="000000"/>
                <w:szCs w:val="21"/>
              </w:rPr>
            </w:pPr>
            <w:r>
              <w:rPr>
                <w:rFonts w:ascii="Times New Roman" w:hAnsi="Times New Roman"/>
                <w:color w:val="000000"/>
                <w:szCs w:val="21"/>
              </w:rPr>
              <w:t>（加盟）</w:t>
            </w:r>
          </w:p>
        </w:tc>
        <w:tc>
          <w:tcPr>
            <w:tcW w:w="873" w:type="dxa"/>
            <w:vAlign w:val="center"/>
          </w:tcPr>
          <w:p w14:paraId="27FC32C8">
            <w:pPr>
              <w:jc w:val="center"/>
              <w:rPr>
                <w:rFonts w:ascii="Times New Roman" w:hAnsi="Times New Roman"/>
                <w:color w:val="000000"/>
                <w:szCs w:val="21"/>
              </w:rPr>
            </w:pPr>
            <w:r>
              <w:rPr>
                <w:rFonts w:ascii="Times New Roman" w:hAnsi="Times New Roman"/>
                <w:color w:val="000000"/>
                <w:szCs w:val="21"/>
              </w:rPr>
              <w:t>577</w:t>
            </w:r>
          </w:p>
        </w:tc>
        <w:tc>
          <w:tcPr>
            <w:tcW w:w="873" w:type="dxa"/>
            <w:vAlign w:val="center"/>
          </w:tcPr>
          <w:p w14:paraId="2B18C653">
            <w:pPr>
              <w:jc w:val="center"/>
              <w:rPr>
                <w:rFonts w:ascii="Times New Roman" w:hAnsi="Times New Roman"/>
                <w:color w:val="000000"/>
                <w:szCs w:val="21"/>
              </w:rPr>
            </w:pPr>
            <w:r>
              <w:rPr>
                <w:rFonts w:ascii="Times New Roman" w:hAnsi="Times New Roman"/>
                <w:color w:val="000000"/>
                <w:szCs w:val="21"/>
              </w:rPr>
              <w:t>850</w:t>
            </w:r>
          </w:p>
        </w:tc>
        <w:tc>
          <w:tcPr>
            <w:tcW w:w="981" w:type="dxa"/>
            <w:vAlign w:val="center"/>
          </w:tcPr>
          <w:p w14:paraId="0A937CE2">
            <w:pPr>
              <w:jc w:val="center"/>
              <w:rPr>
                <w:rFonts w:ascii="Times New Roman" w:hAnsi="Times New Roman"/>
                <w:color w:val="000000"/>
                <w:szCs w:val="21"/>
              </w:rPr>
            </w:pPr>
            <w:r>
              <w:rPr>
                <w:rFonts w:ascii="Times New Roman" w:hAnsi="Times New Roman"/>
                <w:color w:val="000000"/>
                <w:szCs w:val="21"/>
              </w:rPr>
              <w:t>73.54</w:t>
            </w:r>
          </w:p>
        </w:tc>
        <w:tc>
          <w:tcPr>
            <w:tcW w:w="981" w:type="dxa"/>
            <w:vAlign w:val="center"/>
          </w:tcPr>
          <w:p w14:paraId="6C3A3B32">
            <w:pPr>
              <w:jc w:val="center"/>
              <w:rPr>
                <w:rFonts w:ascii="Times New Roman" w:hAnsi="Times New Roman"/>
                <w:color w:val="000000"/>
                <w:szCs w:val="21"/>
              </w:rPr>
            </w:pPr>
            <w:r>
              <w:rPr>
                <w:rFonts w:ascii="Times New Roman" w:hAnsi="Times New Roman"/>
                <w:color w:val="000000"/>
                <w:szCs w:val="21"/>
              </w:rPr>
              <w:t>诚信</w:t>
            </w:r>
          </w:p>
        </w:tc>
        <w:tc>
          <w:tcPr>
            <w:tcW w:w="684" w:type="dxa"/>
            <w:vAlign w:val="center"/>
          </w:tcPr>
          <w:p w14:paraId="55D87FF8">
            <w:pPr>
              <w:jc w:val="center"/>
              <w:rPr>
                <w:rFonts w:ascii="Times New Roman" w:hAnsi="Times New Roman"/>
                <w:color w:val="000000"/>
                <w:szCs w:val="21"/>
              </w:rPr>
            </w:pPr>
            <w:r>
              <w:rPr>
                <w:rFonts w:hint="eastAsia" w:ascii="Times New Roman" w:hAnsi="Times New Roman"/>
                <w:color w:val="000000"/>
                <w:szCs w:val="21"/>
              </w:rPr>
              <w:t>7</w:t>
            </w:r>
            <w:r>
              <w:rPr>
                <w:rFonts w:ascii="Times New Roman" w:hAnsi="Times New Roman"/>
                <w:color w:val="000000"/>
                <w:szCs w:val="21"/>
              </w:rPr>
              <w:t>年</w:t>
            </w:r>
          </w:p>
        </w:tc>
        <w:tc>
          <w:tcPr>
            <w:tcW w:w="1465" w:type="dxa"/>
            <w:vAlign w:val="center"/>
          </w:tcPr>
          <w:p w14:paraId="02C60342">
            <w:pPr>
              <w:jc w:val="center"/>
              <w:rPr>
                <w:rFonts w:ascii="Times New Roman" w:hAnsi="Times New Roman"/>
                <w:color w:val="000000"/>
                <w:szCs w:val="21"/>
              </w:rPr>
            </w:pPr>
            <w:r>
              <w:rPr>
                <w:rFonts w:ascii="Times New Roman" w:hAnsi="Times New Roman"/>
                <w:color w:val="000000"/>
                <w:szCs w:val="21"/>
              </w:rPr>
              <w:t>400-689-9188</w:t>
            </w:r>
          </w:p>
        </w:tc>
      </w:tr>
      <w:bookmarkEnd w:id="57"/>
      <w:tr w14:paraId="468C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3" w:type="dxa"/>
            <w:vAlign w:val="center"/>
          </w:tcPr>
          <w:p w14:paraId="7413F451">
            <w:pPr>
              <w:jc w:val="center"/>
              <w:rPr>
                <w:rFonts w:ascii="Times New Roman" w:hAnsi="Times New Roman"/>
                <w:color w:val="000000"/>
                <w:sz w:val="24"/>
              </w:rPr>
            </w:pPr>
            <w:bookmarkStart w:id="58" w:name="_Hlk191384735"/>
            <w:r>
              <w:rPr>
                <w:rFonts w:ascii="Times New Roman" w:hAnsi="Times New Roman"/>
                <w:color w:val="000000"/>
                <w:sz w:val="24"/>
              </w:rPr>
              <w:t>11</w:t>
            </w:r>
          </w:p>
        </w:tc>
        <w:tc>
          <w:tcPr>
            <w:tcW w:w="3695" w:type="dxa"/>
            <w:vAlign w:val="center"/>
          </w:tcPr>
          <w:p w14:paraId="567A86CC">
            <w:pPr>
              <w:jc w:val="center"/>
              <w:rPr>
                <w:rFonts w:ascii="Times New Roman" w:hAnsi="Times New Roman"/>
                <w:color w:val="000000"/>
                <w:szCs w:val="21"/>
              </w:rPr>
            </w:pPr>
            <w:r>
              <w:rPr>
                <w:rFonts w:ascii="Times New Roman" w:hAnsi="Times New Roman"/>
                <w:color w:val="000000"/>
                <w:szCs w:val="21"/>
              </w:rPr>
              <w:drawing>
                <wp:inline distT="0" distB="0" distL="0" distR="0">
                  <wp:extent cx="1926590" cy="450850"/>
                  <wp:effectExtent l="0" t="0" r="0" b="635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926590" cy="450850"/>
                          </a:xfrm>
                          <a:prstGeom prst="rect">
                            <a:avLst/>
                          </a:prstGeom>
                          <a:noFill/>
                        </pic:spPr>
                      </pic:pic>
                    </a:graphicData>
                  </a:graphic>
                </wp:inline>
              </w:drawing>
            </w:r>
          </w:p>
          <w:p w14:paraId="0A2CA682">
            <w:pPr>
              <w:jc w:val="center"/>
              <w:rPr>
                <w:rFonts w:ascii="Times New Roman" w:hAnsi="Times New Roman"/>
                <w:color w:val="000000"/>
                <w:szCs w:val="21"/>
              </w:rPr>
            </w:pPr>
            <w:r>
              <w:rPr>
                <w:rFonts w:ascii="Times New Roman" w:hAnsi="Times New Roman"/>
                <w:color w:val="000000"/>
                <w:szCs w:val="21"/>
              </w:rPr>
              <w:t>糯家（广州）信息科技有限公司</w:t>
            </w:r>
          </w:p>
          <w:p w14:paraId="16863966">
            <w:pPr>
              <w:jc w:val="center"/>
              <w:rPr>
                <w:rFonts w:ascii="Times New Roman" w:hAnsi="Times New Roman"/>
                <w:color w:val="000000"/>
                <w:szCs w:val="21"/>
              </w:rPr>
            </w:pPr>
            <w:r>
              <w:rPr>
                <w:rFonts w:ascii="Times New Roman" w:hAnsi="Times New Roman"/>
                <w:color w:val="000000"/>
                <w:szCs w:val="21"/>
              </w:rPr>
              <w:t>（加盟）</w:t>
            </w:r>
          </w:p>
        </w:tc>
        <w:tc>
          <w:tcPr>
            <w:tcW w:w="873" w:type="dxa"/>
            <w:vAlign w:val="center"/>
          </w:tcPr>
          <w:p w14:paraId="248887D2">
            <w:pPr>
              <w:jc w:val="center"/>
              <w:rPr>
                <w:rFonts w:ascii="Times New Roman" w:hAnsi="Times New Roman"/>
                <w:color w:val="000000"/>
                <w:szCs w:val="21"/>
              </w:rPr>
            </w:pPr>
            <w:r>
              <w:rPr>
                <w:rFonts w:ascii="Times New Roman" w:hAnsi="Times New Roman"/>
                <w:color w:val="000000"/>
                <w:szCs w:val="21"/>
              </w:rPr>
              <w:t>74</w:t>
            </w:r>
          </w:p>
        </w:tc>
        <w:tc>
          <w:tcPr>
            <w:tcW w:w="873" w:type="dxa"/>
            <w:vAlign w:val="center"/>
          </w:tcPr>
          <w:p w14:paraId="30522286">
            <w:pPr>
              <w:jc w:val="center"/>
              <w:rPr>
                <w:rFonts w:ascii="Times New Roman" w:hAnsi="Times New Roman"/>
                <w:color w:val="000000"/>
                <w:szCs w:val="21"/>
              </w:rPr>
            </w:pPr>
            <w:r>
              <w:rPr>
                <w:rFonts w:ascii="Times New Roman" w:hAnsi="Times New Roman"/>
                <w:color w:val="000000"/>
                <w:szCs w:val="21"/>
              </w:rPr>
              <w:t>102</w:t>
            </w:r>
          </w:p>
        </w:tc>
        <w:tc>
          <w:tcPr>
            <w:tcW w:w="981" w:type="dxa"/>
            <w:vAlign w:val="center"/>
          </w:tcPr>
          <w:p w14:paraId="33963B44">
            <w:pPr>
              <w:jc w:val="center"/>
              <w:rPr>
                <w:rFonts w:ascii="Times New Roman" w:hAnsi="Times New Roman"/>
                <w:color w:val="000000"/>
                <w:szCs w:val="21"/>
              </w:rPr>
            </w:pPr>
            <w:r>
              <w:rPr>
                <w:rFonts w:ascii="Times New Roman" w:hAnsi="Times New Roman"/>
                <w:color w:val="000000"/>
                <w:szCs w:val="21"/>
              </w:rPr>
              <w:t>73.37</w:t>
            </w:r>
          </w:p>
        </w:tc>
        <w:tc>
          <w:tcPr>
            <w:tcW w:w="981" w:type="dxa"/>
            <w:vAlign w:val="center"/>
          </w:tcPr>
          <w:p w14:paraId="1195B371">
            <w:pPr>
              <w:jc w:val="center"/>
              <w:rPr>
                <w:rFonts w:ascii="Times New Roman" w:hAnsi="Times New Roman"/>
                <w:color w:val="000000"/>
                <w:szCs w:val="21"/>
              </w:rPr>
            </w:pPr>
            <w:r>
              <w:rPr>
                <w:rFonts w:ascii="Times New Roman" w:hAnsi="Times New Roman"/>
                <w:color w:val="000000"/>
                <w:szCs w:val="21"/>
              </w:rPr>
              <w:t>诚信</w:t>
            </w:r>
          </w:p>
        </w:tc>
        <w:tc>
          <w:tcPr>
            <w:tcW w:w="684" w:type="dxa"/>
            <w:vAlign w:val="center"/>
          </w:tcPr>
          <w:p w14:paraId="54162525">
            <w:pPr>
              <w:jc w:val="center"/>
              <w:rPr>
                <w:rFonts w:ascii="Times New Roman" w:hAnsi="Times New Roman"/>
                <w:color w:val="000000"/>
                <w:szCs w:val="21"/>
              </w:rPr>
            </w:pPr>
            <w:r>
              <w:rPr>
                <w:rFonts w:hint="eastAsia" w:ascii="Times New Roman" w:hAnsi="Times New Roman"/>
                <w:color w:val="000000"/>
                <w:szCs w:val="21"/>
              </w:rPr>
              <w:t>5</w:t>
            </w:r>
            <w:r>
              <w:rPr>
                <w:rFonts w:ascii="Times New Roman" w:hAnsi="Times New Roman"/>
                <w:color w:val="000000"/>
                <w:szCs w:val="21"/>
              </w:rPr>
              <w:t>年</w:t>
            </w:r>
          </w:p>
        </w:tc>
        <w:tc>
          <w:tcPr>
            <w:tcW w:w="1465" w:type="dxa"/>
            <w:vAlign w:val="center"/>
          </w:tcPr>
          <w:p w14:paraId="3ECDBA01">
            <w:pPr>
              <w:jc w:val="center"/>
              <w:rPr>
                <w:rFonts w:ascii="Times New Roman" w:hAnsi="Times New Roman"/>
                <w:color w:val="000000"/>
                <w:szCs w:val="21"/>
              </w:rPr>
            </w:pPr>
            <w:r>
              <w:rPr>
                <w:rFonts w:ascii="Times New Roman" w:hAnsi="Times New Roman"/>
                <w:color w:val="000000"/>
                <w:szCs w:val="21"/>
              </w:rPr>
              <w:t>400-002-3777</w:t>
            </w:r>
          </w:p>
        </w:tc>
      </w:tr>
      <w:bookmarkEnd w:id="58"/>
      <w:tr w14:paraId="6919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483" w:type="dxa"/>
            <w:vAlign w:val="center"/>
          </w:tcPr>
          <w:p w14:paraId="22F0ADE9">
            <w:pPr>
              <w:jc w:val="center"/>
              <w:rPr>
                <w:rFonts w:ascii="Times New Roman" w:hAnsi="Times New Roman"/>
                <w:color w:val="000000"/>
                <w:sz w:val="24"/>
              </w:rPr>
            </w:pPr>
            <w:bookmarkStart w:id="59" w:name="_Hlk191384690"/>
            <w:r>
              <w:rPr>
                <w:rFonts w:ascii="Times New Roman" w:hAnsi="Times New Roman"/>
                <w:color w:val="000000"/>
                <w:sz w:val="24"/>
              </w:rPr>
              <w:t>12</w:t>
            </w:r>
          </w:p>
        </w:tc>
        <w:tc>
          <w:tcPr>
            <w:tcW w:w="3695" w:type="dxa"/>
            <w:vAlign w:val="center"/>
          </w:tcPr>
          <w:p w14:paraId="10F7F4B4">
            <w:pPr>
              <w:jc w:val="center"/>
              <w:rPr>
                <w:rFonts w:ascii="Times New Roman" w:hAnsi="Times New Roman"/>
                <w:color w:val="000000"/>
                <w:szCs w:val="21"/>
              </w:rPr>
            </w:pPr>
            <w:r>
              <w:rPr>
                <w:rFonts w:ascii="Times New Roman" w:hAnsi="Times New Roman"/>
                <w:color w:val="000000"/>
                <w:szCs w:val="21"/>
              </w:rPr>
              <w:drawing>
                <wp:inline distT="0" distB="0" distL="0" distR="0">
                  <wp:extent cx="1830070" cy="400050"/>
                  <wp:effectExtent l="0" t="0" r="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831157" cy="400482"/>
                          </a:xfrm>
                          <a:prstGeom prst="rect">
                            <a:avLst/>
                          </a:prstGeom>
                          <a:noFill/>
                        </pic:spPr>
                      </pic:pic>
                    </a:graphicData>
                  </a:graphic>
                </wp:inline>
              </w:drawing>
            </w:r>
          </w:p>
          <w:p w14:paraId="2D9982E5">
            <w:pPr>
              <w:jc w:val="center"/>
              <w:rPr>
                <w:rFonts w:ascii="Times New Roman" w:hAnsi="Times New Roman"/>
                <w:color w:val="000000"/>
                <w:szCs w:val="21"/>
              </w:rPr>
            </w:pPr>
            <w:r>
              <w:rPr>
                <w:rFonts w:ascii="Times New Roman" w:hAnsi="Times New Roman"/>
                <w:color w:val="000000"/>
                <w:szCs w:val="21"/>
              </w:rPr>
              <w:t>广州市共和房地产代理有限公司</w:t>
            </w:r>
          </w:p>
          <w:p w14:paraId="168FA5A0">
            <w:pPr>
              <w:jc w:val="center"/>
              <w:rPr>
                <w:rFonts w:ascii="Times New Roman" w:hAnsi="Times New Roman"/>
                <w:color w:val="000000"/>
                <w:szCs w:val="21"/>
              </w:rPr>
            </w:pPr>
            <w:r>
              <w:rPr>
                <w:rFonts w:ascii="Times New Roman" w:hAnsi="Times New Roman"/>
                <w:color w:val="000000"/>
                <w:szCs w:val="21"/>
              </w:rPr>
              <w:t>（直营+加盟）</w:t>
            </w:r>
          </w:p>
        </w:tc>
        <w:tc>
          <w:tcPr>
            <w:tcW w:w="873" w:type="dxa"/>
            <w:vAlign w:val="center"/>
          </w:tcPr>
          <w:p w14:paraId="07BE84B6">
            <w:pPr>
              <w:jc w:val="center"/>
              <w:rPr>
                <w:rFonts w:ascii="Times New Roman" w:hAnsi="Times New Roman"/>
                <w:color w:val="000000"/>
                <w:szCs w:val="21"/>
              </w:rPr>
            </w:pPr>
            <w:r>
              <w:rPr>
                <w:rFonts w:ascii="Times New Roman" w:hAnsi="Times New Roman"/>
                <w:color w:val="000000"/>
                <w:szCs w:val="21"/>
              </w:rPr>
              <w:t>32</w:t>
            </w:r>
          </w:p>
        </w:tc>
        <w:tc>
          <w:tcPr>
            <w:tcW w:w="873" w:type="dxa"/>
            <w:vAlign w:val="center"/>
          </w:tcPr>
          <w:p w14:paraId="6622723A">
            <w:pPr>
              <w:jc w:val="center"/>
              <w:rPr>
                <w:rFonts w:ascii="Times New Roman" w:hAnsi="Times New Roman"/>
                <w:color w:val="000000"/>
                <w:szCs w:val="21"/>
              </w:rPr>
            </w:pPr>
            <w:r>
              <w:rPr>
                <w:rFonts w:ascii="Times New Roman" w:hAnsi="Times New Roman"/>
                <w:color w:val="000000"/>
                <w:szCs w:val="21"/>
              </w:rPr>
              <w:t>27</w:t>
            </w:r>
          </w:p>
        </w:tc>
        <w:tc>
          <w:tcPr>
            <w:tcW w:w="981" w:type="dxa"/>
            <w:vAlign w:val="center"/>
          </w:tcPr>
          <w:p w14:paraId="0CA0FA86">
            <w:pPr>
              <w:jc w:val="center"/>
              <w:rPr>
                <w:rFonts w:ascii="Times New Roman" w:hAnsi="Times New Roman"/>
                <w:color w:val="000000"/>
                <w:szCs w:val="21"/>
              </w:rPr>
            </w:pPr>
            <w:r>
              <w:rPr>
                <w:rFonts w:ascii="Times New Roman" w:hAnsi="Times New Roman"/>
                <w:color w:val="000000"/>
                <w:szCs w:val="21"/>
              </w:rPr>
              <w:t>73.36</w:t>
            </w:r>
          </w:p>
        </w:tc>
        <w:tc>
          <w:tcPr>
            <w:tcW w:w="981" w:type="dxa"/>
            <w:vAlign w:val="center"/>
          </w:tcPr>
          <w:p w14:paraId="4C28C882">
            <w:pPr>
              <w:jc w:val="center"/>
              <w:rPr>
                <w:rFonts w:ascii="Times New Roman" w:hAnsi="Times New Roman"/>
                <w:color w:val="000000"/>
                <w:szCs w:val="21"/>
              </w:rPr>
            </w:pPr>
            <w:r>
              <w:rPr>
                <w:rFonts w:ascii="Times New Roman" w:hAnsi="Times New Roman"/>
                <w:color w:val="000000"/>
                <w:szCs w:val="21"/>
              </w:rPr>
              <w:t>诚信</w:t>
            </w:r>
          </w:p>
        </w:tc>
        <w:tc>
          <w:tcPr>
            <w:tcW w:w="684" w:type="dxa"/>
            <w:vAlign w:val="center"/>
          </w:tcPr>
          <w:p w14:paraId="1ED22133">
            <w:pPr>
              <w:jc w:val="center"/>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2</w:t>
            </w:r>
            <w:r>
              <w:rPr>
                <w:rFonts w:ascii="Times New Roman" w:hAnsi="Times New Roman"/>
                <w:color w:val="000000"/>
                <w:szCs w:val="21"/>
              </w:rPr>
              <w:t>年</w:t>
            </w:r>
          </w:p>
        </w:tc>
        <w:tc>
          <w:tcPr>
            <w:tcW w:w="1465" w:type="dxa"/>
            <w:vAlign w:val="center"/>
          </w:tcPr>
          <w:p w14:paraId="4A51DEF7">
            <w:pPr>
              <w:jc w:val="center"/>
              <w:rPr>
                <w:rFonts w:ascii="Times New Roman" w:hAnsi="Times New Roman"/>
                <w:color w:val="000000"/>
                <w:szCs w:val="21"/>
              </w:rPr>
            </w:pPr>
            <w:r>
              <w:rPr>
                <w:rFonts w:ascii="Times New Roman" w:hAnsi="Times New Roman"/>
                <w:color w:val="000000"/>
                <w:szCs w:val="21"/>
              </w:rPr>
              <w:t>13602492983</w:t>
            </w:r>
          </w:p>
        </w:tc>
      </w:tr>
      <w:bookmarkEnd w:id="59"/>
      <w:tr w14:paraId="5674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83" w:type="dxa"/>
            <w:vAlign w:val="center"/>
          </w:tcPr>
          <w:p w14:paraId="133E10CB">
            <w:pPr>
              <w:jc w:val="center"/>
              <w:rPr>
                <w:rFonts w:ascii="Times New Roman" w:hAnsi="Times New Roman"/>
                <w:color w:val="000000"/>
                <w:sz w:val="24"/>
              </w:rPr>
            </w:pPr>
            <w:r>
              <w:rPr>
                <w:rFonts w:ascii="Times New Roman" w:hAnsi="Times New Roman"/>
                <w:color w:val="000000"/>
                <w:sz w:val="24"/>
              </w:rPr>
              <w:t>13</w:t>
            </w:r>
          </w:p>
        </w:tc>
        <w:tc>
          <w:tcPr>
            <w:tcW w:w="3695" w:type="dxa"/>
            <w:vAlign w:val="center"/>
          </w:tcPr>
          <w:p w14:paraId="0116728B">
            <w:pPr>
              <w:jc w:val="center"/>
              <w:rPr>
                <w:rFonts w:ascii="Times New Roman" w:hAnsi="Times New Roman"/>
                <w:color w:val="000000"/>
                <w:szCs w:val="21"/>
              </w:rPr>
            </w:pPr>
            <w:r>
              <w:rPr>
                <w:rFonts w:ascii="Times New Roman" w:hAnsi="Times New Roman"/>
                <w:color w:val="000000"/>
                <w:szCs w:val="21"/>
              </w:rPr>
              <w:drawing>
                <wp:inline distT="0" distB="0" distL="0" distR="0">
                  <wp:extent cx="1581785" cy="412750"/>
                  <wp:effectExtent l="0" t="0" r="0" b="635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580874" cy="412653"/>
                          </a:xfrm>
                          <a:prstGeom prst="rect">
                            <a:avLst/>
                          </a:prstGeom>
                          <a:noFill/>
                        </pic:spPr>
                      </pic:pic>
                    </a:graphicData>
                  </a:graphic>
                </wp:inline>
              </w:drawing>
            </w:r>
          </w:p>
          <w:p w14:paraId="34880506">
            <w:pPr>
              <w:jc w:val="center"/>
              <w:rPr>
                <w:rFonts w:ascii="Times New Roman" w:hAnsi="Times New Roman"/>
                <w:color w:val="000000"/>
                <w:szCs w:val="21"/>
              </w:rPr>
            </w:pPr>
            <w:r>
              <w:rPr>
                <w:rFonts w:ascii="Times New Roman" w:hAnsi="Times New Roman"/>
                <w:color w:val="000000"/>
                <w:szCs w:val="21"/>
              </w:rPr>
              <w:t>天津乐远房地产经纪有限公司</w:t>
            </w:r>
          </w:p>
          <w:p w14:paraId="79032979">
            <w:pPr>
              <w:jc w:val="center"/>
              <w:rPr>
                <w:rFonts w:ascii="Times New Roman" w:hAnsi="Times New Roman"/>
                <w:color w:val="000000"/>
                <w:szCs w:val="21"/>
              </w:rPr>
            </w:pPr>
            <w:r>
              <w:rPr>
                <w:rFonts w:ascii="Times New Roman" w:hAnsi="Times New Roman"/>
                <w:color w:val="000000"/>
                <w:szCs w:val="21"/>
              </w:rPr>
              <w:t>(加盟)</w:t>
            </w:r>
          </w:p>
        </w:tc>
        <w:tc>
          <w:tcPr>
            <w:tcW w:w="873" w:type="dxa"/>
            <w:vAlign w:val="center"/>
          </w:tcPr>
          <w:p w14:paraId="11127219">
            <w:pPr>
              <w:jc w:val="center"/>
              <w:rPr>
                <w:rFonts w:ascii="Times New Roman" w:hAnsi="Times New Roman"/>
                <w:color w:val="000000"/>
                <w:szCs w:val="21"/>
              </w:rPr>
            </w:pPr>
            <w:r>
              <w:rPr>
                <w:rFonts w:ascii="Times New Roman" w:hAnsi="Times New Roman"/>
                <w:color w:val="000000"/>
                <w:szCs w:val="21"/>
              </w:rPr>
              <w:t>/</w:t>
            </w:r>
          </w:p>
        </w:tc>
        <w:tc>
          <w:tcPr>
            <w:tcW w:w="873" w:type="dxa"/>
            <w:vAlign w:val="center"/>
          </w:tcPr>
          <w:p w14:paraId="54C90761">
            <w:pPr>
              <w:jc w:val="center"/>
              <w:rPr>
                <w:rFonts w:ascii="Times New Roman" w:hAnsi="Times New Roman"/>
                <w:color w:val="000000"/>
                <w:szCs w:val="21"/>
              </w:rPr>
            </w:pPr>
            <w:r>
              <w:rPr>
                <w:rFonts w:ascii="Times New Roman" w:hAnsi="Times New Roman"/>
                <w:color w:val="000000"/>
                <w:szCs w:val="21"/>
              </w:rPr>
              <w:t>106</w:t>
            </w:r>
          </w:p>
        </w:tc>
        <w:tc>
          <w:tcPr>
            <w:tcW w:w="981" w:type="dxa"/>
            <w:vAlign w:val="center"/>
          </w:tcPr>
          <w:p w14:paraId="4DE47B85">
            <w:pPr>
              <w:jc w:val="center"/>
              <w:rPr>
                <w:rFonts w:ascii="Times New Roman" w:hAnsi="Times New Roman"/>
                <w:color w:val="000000"/>
                <w:szCs w:val="21"/>
              </w:rPr>
            </w:pPr>
            <w:r>
              <w:rPr>
                <w:rFonts w:ascii="Times New Roman" w:hAnsi="Times New Roman"/>
                <w:color w:val="000000"/>
                <w:szCs w:val="21"/>
              </w:rPr>
              <w:t>73.26</w:t>
            </w:r>
          </w:p>
        </w:tc>
        <w:tc>
          <w:tcPr>
            <w:tcW w:w="981" w:type="dxa"/>
            <w:vAlign w:val="center"/>
          </w:tcPr>
          <w:p w14:paraId="7B7A10AA">
            <w:pPr>
              <w:jc w:val="center"/>
              <w:rPr>
                <w:rFonts w:ascii="Times New Roman" w:hAnsi="Times New Roman"/>
                <w:color w:val="000000"/>
                <w:szCs w:val="21"/>
              </w:rPr>
            </w:pPr>
            <w:r>
              <w:rPr>
                <w:rFonts w:ascii="Times New Roman" w:hAnsi="Times New Roman"/>
                <w:color w:val="000000"/>
                <w:szCs w:val="21"/>
              </w:rPr>
              <w:t>诚信</w:t>
            </w:r>
          </w:p>
        </w:tc>
        <w:tc>
          <w:tcPr>
            <w:tcW w:w="684" w:type="dxa"/>
            <w:vAlign w:val="center"/>
          </w:tcPr>
          <w:p w14:paraId="58C5451E">
            <w:pPr>
              <w:jc w:val="center"/>
              <w:rPr>
                <w:rFonts w:ascii="Times New Roman" w:hAnsi="Times New Roman"/>
                <w:color w:val="000000"/>
                <w:szCs w:val="21"/>
              </w:rPr>
            </w:pPr>
            <w:r>
              <w:rPr>
                <w:rFonts w:hint="eastAsia" w:ascii="Times New Roman" w:hAnsi="Times New Roman"/>
                <w:color w:val="000000"/>
                <w:szCs w:val="21"/>
              </w:rPr>
              <w:t>2</w:t>
            </w:r>
            <w:r>
              <w:rPr>
                <w:rFonts w:ascii="Times New Roman" w:hAnsi="Times New Roman"/>
                <w:color w:val="000000"/>
                <w:szCs w:val="21"/>
              </w:rPr>
              <w:t>年</w:t>
            </w:r>
          </w:p>
        </w:tc>
        <w:tc>
          <w:tcPr>
            <w:tcW w:w="1465" w:type="dxa"/>
            <w:vAlign w:val="center"/>
          </w:tcPr>
          <w:p w14:paraId="1C18F0DD">
            <w:pPr>
              <w:jc w:val="center"/>
              <w:rPr>
                <w:rFonts w:ascii="Times New Roman" w:hAnsi="Times New Roman"/>
                <w:color w:val="000000"/>
                <w:szCs w:val="21"/>
              </w:rPr>
            </w:pPr>
            <w:r>
              <w:rPr>
                <w:rFonts w:ascii="Times New Roman" w:hAnsi="Times New Roman"/>
                <w:color w:val="000000"/>
                <w:szCs w:val="21"/>
              </w:rPr>
              <w:t>暂无统一客服热线</w:t>
            </w:r>
          </w:p>
        </w:tc>
      </w:tr>
      <w:tr w14:paraId="1AF5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83" w:type="dxa"/>
            <w:vAlign w:val="center"/>
          </w:tcPr>
          <w:p w14:paraId="1BBEDA6B">
            <w:pPr>
              <w:jc w:val="center"/>
              <w:rPr>
                <w:rFonts w:ascii="Times New Roman" w:hAnsi="Times New Roman"/>
                <w:color w:val="000000"/>
                <w:sz w:val="24"/>
              </w:rPr>
            </w:pPr>
            <w:bookmarkStart w:id="60" w:name="_Hlk191384742"/>
            <w:r>
              <w:rPr>
                <w:rFonts w:ascii="Times New Roman" w:hAnsi="Times New Roman"/>
                <w:color w:val="000000"/>
                <w:sz w:val="24"/>
              </w:rPr>
              <w:t>14</w:t>
            </w:r>
          </w:p>
        </w:tc>
        <w:tc>
          <w:tcPr>
            <w:tcW w:w="3695" w:type="dxa"/>
            <w:vAlign w:val="center"/>
          </w:tcPr>
          <w:p w14:paraId="7AE49B73">
            <w:pPr>
              <w:jc w:val="center"/>
              <w:rPr>
                <w:rFonts w:ascii="Times New Roman" w:hAnsi="Times New Roman"/>
                <w:color w:val="000000"/>
                <w:szCs w:val="21"/>
              </w:rPr>
            </w:pPr>
            <w:r>
              <w:rPr>
                <w:rFonts w:ascii="Times New Roman" w:hAnsi="Times New Roman"/>
                <w:color w:val="000000"/>
                <w:szCs w:val="21"/>
              </w:rPr>
              <w:drawing>
                <wp:inline distT="0" distB="0" distL="0" distR="0">
                  <wp:extent cx="1924050" cy="366395"/>
                  <wp:effectExtent l="0" t="0" r="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921428" cy="365933"/>
                          </a:xfrm>
                          <a:prstGeom prst="rect">
                            <a:avLst/>
                          </a:prstGeom>
                          <a:noFill/>
                        </pic:spPr>
                      </pic:pic>
                    </a:graphicData>
                  </a:graphic>
                </wp:inline>
              </w:drawing>
            </w:r>
          </w:p>
          <w:p w14:paraId="7CDD7802">
            <w:pPr>
              <w:jc w:val="center"/>
              <w:rPr>
                <w:rFonts w:ascii="Times New Roman" w:hAnsi="Times New Roman"/>
                <w:color w:val="000000"/>
                <w:szCs w:val="21"/>
              </w:rPr>
            </w:pPr>
            <w:r>
              <w:rPr>
                <w:rFonts w:ascii="Times New Roman" w:hAnsi="Times New Roman"/>
                <w:color w:val="000000"/>
                <w:szCs w:val="21"/>
              </w:rPr>
              <w:t>广州优居房地产经纪有限公司</w:t>
            </w:r>
          </w:p>
          <w:p w14:paraId="74C0B05D">
            <w:pPr>
              <w:jc w:val="center"/>
              <w:rPr>
                <w:rFonts w:ascii="Times New Roman" w:hAnsi="Times New Roman"/>
                <w:color w:val="000000"/>
                <w:szCs w:val="21"/>
              </w:rPr>
            </w:pPr>
            <w:r>
              <w:rPr>
                <w:rFonts w:ascii="Times New Roman" w:hAnsi="Times New Roman"/>
                <w:color w:val="000000"/>
                <w:szCs w:val="21"/>
              </w:rPr>
              <w:t>（加盟）</w:t>
            </w:r>
          </w:p>
        </w:tc>
        <w:tc>
          <w:tcPr>
            <w:tcW w:w="873" w:type="dxa"/>
            <w:vAlign w:val="center"/>
          </w:tcPr>
          <w:p w14:paraId="54202D5E">
            <w:pPr>
              <w:jc w:val="center"/>
              <w:rPr>
                <w:rFonts w:ascii="Times New Roman" w:hAnsi="Times New Roman"/>
                <w:color w:val="000000"/>
                <w:szCs w:val="21"/>
              </w:rPr>
            </w:pPr>
            <w:r>
              <w:rPr>
                <w:rFonts w:ascii="Times New Roman" w:hAnsi="Times New Roman"/>
                <w:color w:val="000000"/>
                <w:szCs w:val="21"/>
              </w:rPr>
              <w:t>25</w:t>
            </w:r>
          </w:p>
        </w:tc>
        <w:tc>
          <w:tcPr>
            <w:tcW w:w="873" w:type="dxa"/>
            <w:vAlign w:val="center"/>
          </w:tcPr>
          <w:p w14:paraId="67B682CD">
            <w:pPr>
              <w:jc w:val="center"/>
              <w:rPr>
                <w:rFonts w:ascii="Times New Roman" w:hAnsi="Times New Roman"/>
                <w:color w:val="000000"/>
                <w:szCs w:val="21"/>
              </w:rPr>
            </w:pPr>
            <w:r>
              <w:rPr>
                <w:rFonts w:ascii="Times New Roman" w:hAnsi="Times New Roman"/>
                <w:color w:val="000000"/>
                <w:szCs w:val="21"/>
              </w:rPr>
              <w:t>66</w:t>
            </w:r>
          </w:p>
        </w:tc>
        <w:tc>
          <w:tcPr>
            <w:tcW w:w="981" w:type="dxa"/>
            <w:vAlign w:val="center"/>
          </w:tcPr>
          <w:p w14:paraId="0F7E48A2">
            <w:pPr>
              <w:jc w:val="center"/>
              <w:rPr>
                <w:rFonts w:ascii="Times New Roman" w:hAnsi="Times New Roman"/>
                <w:color w:val="000000"/>
                <w:szCs w:val="21"/>
              </w:rPr>
            </w:pPr>
            <w:r>
              <w:rPr>
                <w:rFonts w:ascii="Times New Roman" w:hAnsi="Times New Roman"/>
                <w:color w:val="000000"/>
                <w:szCs w:val="21"/>
              </w:rPr>
              <w:t>73.24</w:t>
            </w:r>
          </w:p>
        </w:tc>
        <w:tc>
          <w:tcPr>
            <w:tcW w:w="981" w:type="dxa"/>
            <w:vAlign w:val="center"/>
          </w:tcPr>
          <w:p w14:paraId="7E22E612">
            <w:pPr>
              <w:jc w:val="center"/>
              <w:rPr>
                <w:rFonts w:ascii="Times New Roman" w:hAnsi="Times New Roman"/>
                <w:color w:val="000000"/>
                <w:szCs w:val="21"/>
              </w:rPr>
            </w:pPr>
            <w:r>
              <w:rPr>
                <w:rFonts w:ascii="Times New Roman" w:hAnsi="Times New Roman"/>
                <w:color w:val="000000"/>
                <w:szCs w:val="21"/>
              </w:rPr>
              <w:t>诚信</w:t>
            </w:r>
          </w:p>
        </w:tc>
        <w:tc>
          <w:tcPr>
            <w:tcW w:w="684" w:type="dxa"/>
            <w:vAlign w:val="center"/>
          </w:tcPr>
          <w:p w14:paraId="07179548">
            <w:pPr>
              <w:jc w:val="center"/>
              <w:rPr>
                <w:rFonts w:ascii="Times New Roman" w:hAnsi="Times New Roman"/>
                <w:color w:val="000000"/>
                <w:szCs w:val="21"/>
              </w:rPr>
            </w:pPr>
            <w:r>
              <w:rPr>
                <w:rFonts w:hint="eastAsia" w:ascii="Times New Roman" w:hAnsi="Times New Roman"/>
                <w:color w:val="000000"/>
                <w:szCs w:val="21"/>
              </w:rPr>
              <w:t>8</w:t>
            </w:r>
            <w:r>
              <w:rPr>
                <w:rFonts w:ascii="Times New Roman" w:hAnsi="Times New Roman"/>
                <w:color w:val="000000"/>
                <w:szCs w:val="21"/>
              </w:rPr>
              <w:t>年</w:t>
            </w:r>
          </w:p>
        </w:tc>
        <w:tc>
          <w:tcPr>
            <w:tcW w:w="1465" w:type="dxa"/>
            <w:vAlign w:val="center"/>
          </w:tcPr>
          <w:p w14:paraId="3B26610C">
            <w:pPr>
              <w:jc w:val="center"/>
              <w:rPr>
                <w:rFonts w:ascii="Times New Roman" w:hAnsi="Times New Roman"/>
                <w:color w:val="000000"/>
                <w:szCs w:val="21"/>
              </w:rPr>
            </w:pPr>
            <w:r>
              <w:rPr>
                <w:rFonts w:ascii="Times New Roman" w:hAnsi="Times New Roman"/>
                <w:color w:val="000000"/>
                <w:szCs w:val="21"/>
              </w:rPr>
              <w:t>020-89309116</w:t>
            </w:r>
          </w:p>
        </w:tc>
      </w:tr>
      <w:tr w14:paraId="1382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83" w:type="dxa"/>
            <w:vAlign w:val="center"/>
          </w:tcPr>
          <w:p w14:paraId="16013EC8">
            <w:pPr>
              <w:jc w:val="center"/>
              <w:rPr>
                <w:rFonts w:ascii="Times New Roman" w:hAnsi="Times New Roman"/>
                <w:color w:val="000000"/>
                <w:sz w:val="24"/>
              </w:rPr>
            </w:pPr>
            <w:r>
              <w:rPr>
                <w:rFonts w:ascii="Times New Roman" w:hAnsi="Times New Roman"/>
                <w:color w:val="000000"/>
                <w:sz w:val="24"/>
              </w:rPr>
              <w:t>15</w:t>
            </w:r>
          </w:p>
        </w:tc>
        <w:tc>
          <w:tcPr>
            <w:tcW w:w="3695" w:type="dxa"/>
            <w:vAlign w:val="center"/>
          </w:tcPr>
          <w:p w14:paraId="47DD2DDF">
            <w:pPr>
              <w:jc w:val="center"/>
              <w:rPr>
                <w:rFonts w:ascii="Times New Roman" w:hAnsi="Times New Roman"/>
                <w:color w:val="000000"/>
                <w:szCs w:val="21"/>
              </w:rPr>
            </w:pPr>
            <w:r>
              <w:rPr>
                <w:rFonts w:ascii="Times New Roman" w:hAnsi="Times New Roman"/>
                <w:color w:val="000000"/>
                <w:szCs w:val="21"/>
              </w:rPr>
              <w:drawing>
                <wp:inline distT="0" distB="0" distL="0" distR="0">
                  <wp:extent cx="969645" cy="792480"/>
                  <wp:effectExtent l="0" t="0" r="1905" b="762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969645" cy="792480"/>
                          </a:xfrm>
                          <a:prstGeom prst="rect">
                            <a:avLst/>
                          </a:prstGeom>
                          <a:noFill/>
                        </pic:spPr>
                      </pic:pic>
                    </a:graphicData>
                  </a:graphic>
                </wp:inline>
              </w:drawing>
            </w:r>
          </w:p>
          <w:p w14:paraId="3AEBFD1E">
            <w:pPr>
              <w:jc w:val="center"/>
              <w:rPr>
                <w:rFonts w:ascii="Times New Roman" w:hAnsi="Times New Roman"/>
                <w:color w:val="000000"/>
                <w:szCs w:val="21"/>
              </w:rPr>
            </w:pPr>
            <w:r>
              <w:rPr>
                <w:rFonts w:ascii="Times New Roman" w:hAnsi="Times New Roman"/>
                <w:color w:val="000000"/>
                <w:szCs w:val="21"/>
              </w:rPr>
              <w:t>上海住商房地产经纪有限公司</w:t>
            </w:r>
          </w:p>
          <w:p w14:paraId="4696805F">
            <w:pPr>
              <w:jc w:val="center"/>
              <w:rPr>
                <w:rFonts w:ascii="Times New Roman" w:hAnsi="Times New Roman"/>
                <w:color w:val="000000"/>
                <w:szCs w:val="21"/>
              </w:rPr>
            </w:pPr>
            <w:r>
              <w:rPr>
                <w:rFonts w:ascii="Times New Roman" w:hAnsi="Times New Roman"/>
                <w:color w:val="000000"/>
                <w:szCs w:val="21"/>
              </w:rPr>
              <w:t>（加盟）</w:t>
            </w:r>
          </w:p>
        </w:tc>
        <w:tc>
          <w:tcPr>
            <w:tcW w:w="873" w:type="dxa"/>
            <w:vAlign w:val="center"/>
          </w:tcPr>
          <w:p w14:paraId="19C7FE90">
            <w:pPr>
              <w:jc w:val="center"/>
              <w:rPr>
                <w:rFonts w:ascii="Times New Roman" w:hAnsi="Times New Roman"/>
                <w:color w:val="000000"/>
                <w:szCs w:val="21"/>
              </w:rPr>
            </w:pPr>
            <w:r>
              <w:rPr>
                <w:rFonts w:ascii="Times New Roman" w:hAnsi="Times New Roman"/>
                <w:color w:val="000000"/>
                <w:szCs w:val="21"/>
              </w:rPr>
              <w:t>223</w:t>
            </w:r>
          </w:p>
        </w:tc>
        <w:tc>
          <w:tcPr>
            <w:tcW w:w="873" w:type="dxa"/>
            <w:vAlign w:val="center"/>
          </w:tcPr>
          <w:p w14:paraId="520F6A1E">
            <w:pPr>
              <w:jc w:val="center"/>
              <w:rPr>
                <w:rFonts w:ascii="Times New Roman" w:hAnsi="Times New Roman"/>
                <w:color w:val="000000"/>
                <w:szCs w:val="21"/>
              </w:rPr>
            </w:pPr>
            <w:r>
              <w:rPr>
                <w:rFonts w:ascii="Times New Roman" w:hAnsi="Times New Roman"/>
                <w:color w:val="000000"/>
                <w:szCs w:val="21"/>
              </w:rPr>
              <w:t>316</w:t>
            </w:r>
          </w:p>
        </w:tc>
        <w:tc>
          <w:tcPr>
            <w:tcW w:w="981" w:type="dxa"/>
            <w:vAlign w:val="center"/>
          </w:tcPr>
          <w:p w14:paraId="5C885E0C">
            <w:pPr>
              <w:jc w:val="center"/>
              <w:rPr>
                <w:rFonts w:ascii="Times New Roman" w:hAnsi="Times New Roman"/>
                <w:color w:val="000000"/>
                <w:szCs w:val="21"/>
              </w:rPr>
            </w:pPr>
            <w:r>
              <w:rPr>
                <w:rFonts w:ascii="Times New Roman" w:hAnsi="Times New Roman"/>
                <w:color w:val="000000"/>
                <w:szCs w:val="21"/>
              </w:rPr>
              <w:t>72.81</w:t>
            </w:r>
          </w:p>
        </w:tc>
        <w:tc>
          <w:tcPr>
            <w:tcW w:w="981" w:type="dxa"/>
            <w:vAlign w:val="center"/>
          </w:tcPr>
          <w:p w14:paraId="703B253D">
            <w:pPr>
              <w:jc w:val="center"/>
              <w:rPr>
                <w:rFonts w:ascii="Times New Roman" w:hAnsi="Times New Roman"/>
                <w:color w:val="000000"/>
                <w:szCs w:val="21"/>
              </w:rPr>
            </w:pPr>
            <w:r>
              <w:rPr>
                <w:rFonts w:ascii="Times New Roman" w:hAnsi="Times New Roman"/>
                <w:color w:val="000000"/>
                <w:szCs w:val="21"/>
              </w:rPr>
              <w:t>诚信</w:t>
            </w:r>
          </w:p>
        </w:tc>
        <w:tc>
          <w:tcPr>
            <w:tcW w:w="684" w:type="dxa"/>
            <w:vAlign w:val="center"/>
          </w:tcPr>
          <w:p w14:paraId="46233FAE">
            <w:pPr>
              <w:jc w:val="center"/>
              <w:rPr>
                <w:rFonts w:ascii="Times New Roman" w:hAnsi="Times New Roman"/>
                <w:color w:val="000000"/>
                <w:szCs w:val="21"/>
              </w:rPr>
            </w:pPr>
            <w:r>
              <w:rPr>
                <w:rFonts w:hint="eastAsia" w:ascii="Times New Roman" w:hAnsi="Times New Roman"/>
                <w:color w:val="000000"/>
                <w:szCs w:val="21"/>
              </w:rPr>
              <w:t>7</w:t>
            </w:r>
            <w:r>
              <w:rPr>
                <w:rFonts w:ascii="Times New Roman" w:hAnsi="Times New Roman"/>
                <w:color w:val="000000"/>
                <w:szCs w:val="21"/>
              </w:rPr>
              <w:t>年</w:t>
            </w:r>
          </w:p>
        </w:tc>
        <w:tc>
          <w:tcPr>
            <w:tcW w:w="1465" w:type="dxa"/>
            <w:vAlign w:val="center"/>
          </w:tcPr>
          <w:p w14:paraId="77596011">
            <w:pPr>
              <w:jc w:val="center"/>
              <w:rPr>
                <w:rFonts w:ascii="Times New Roman" w:hAnsi="Times New Roman"/>
                <w:color w:val="000000"/>
                <w:szCs w:val="21"/>
              </w:rPr>
            </w:pPr>
            <w:r>
              <w:rPr>
                <w:rFonts w:ascii="Times New Roman" w:hAnsi="Times New Roman"/>
                <w:color w:val="000000"/>
                <w:szCs w:val="21"/>
              </w:rPr>
              <w:t>400-820-3932</w:t>
            </w:r>
          </w:p>
        </w:tc>
      </w:tr>
      <w:bookmarkEnd w:id="60"/>
    </w:tbl>
    <w:p w14:paraId="521FCDCF">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593D9035">
      <w:pPr>
        <w:pStyle w:val="2"/>
        <w:pageBreakBefore/>
        <w:spacing w:before="120" w:beforeLines="50" w:after="120" w:afterLines="50" w:line="360" w:lineRule="auto"/>
        <w:ind w:firstLine="643" w:firstLineChars="200"/>
        <w:rPr>
          <w:rFonts w:ascii="Times New Roman" w:hAnsi="Times New Roman" w:eastAsia="黑体"/>
          <w:bCs w:val="0"/>
          <w:color w:val="000000" w:themeColor="text1"/>
          <w:sz w:val="32"/>
          <w:szCs w:val="24"/>
          <w14:textFill>
            <w14:solidFill>
              <w14:schemeClr w14:val="tx1"/>
            </w14:solidFill>
          </w14:textFill>
        </w:rPr>
      </w:pPr>
      <w:bookmarkStart w:id="61" w:name="_Toc98168318"/>
      <w:bookmarkStart w:id="62" w:name="_Toc192845446"/>
      <w:r>
        <w:rPr>
          <w:rFonts w:ascii="Times New Roman" w:hAnsi="Times New Roman" w:eastAsia="黑体"/>
          <w:bCs w:val="0"/>
          <w:color w:val="000000" w:themeColor="text1"/>
          <w:sz w:val="32"/>
          <w:szCs w:val="24"/>
          <w14:textFill>
            <w14:solidFill>
              <w14:schemeClr w14:val="tx1"/>
            </w14:solidFill>
          </w14:textFill>
        </w:rPr>
        <w:t>六、从业人员信用状况</w:t>
      </w:r>
      <w:bookmarkEnd w:id="61"/>
      <w:bookmarkEnd w:id="62"/>
    </w:p>
    <w:p w14:paraId="5AC05282">
      <w:pPr>
        <w:pStyle w:val="3"/>
        <w:spacing w:before="240" w:after="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63" w:name="_Toc98168319"/>
      <w:bookmarkStart w:id="64" w:name="_Toc192845447"/>
      <w:r>
        <w:rPr>
          <w:rFonts w:ascii="Times New Roman" w:hAnsi="Times New Roman" w:eastAsia="黑体" w:cs="Times New Roman"/>
          <w:bCs w:val="0"/>
          <w:color w:val="000000" w:themeColor="text1"/>
          <w:sz w:val="28"/>
          <w:szCs w:val="28"/>
          <w14:textFill>
            <w14:solidFill>
              <w14:schemeClr w14:val="tx1"/>
            </w14:solidFill>
          </w14:textFill>
        </w:rPr>
        <w:t>（一）整体情况</w:t>
      </w:r>
      <w:bookmarkEnd w:id="63"/>
      <w:bookmarkEnd w:id="64"/>
    </w:p>
    <w:p w14:paraId="6DEB1BB8">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bookmarkStart w:id="65" w:name="OLE_LINK75"/>
      <w:r>
        <w:rPr>
          <w:rFonts w:ascii="Times New Roman" w:hAnsi="Times New Roman" w:eastAsia="仿宋_GB2312"/>
          <w:color w:val="000000" w:themeColor="text1"/>
          <w:kern w:val="0"/>
          <w:sz w:val="32"/>
          <w:szCs w:val="32"/>
          <w:lang w:val="zh-TW"/>
          <w14:textFill>
            <w14:solidFill>
              <w14:schemeClr w14:val="tx1"/>
            </w14:solidFill>
          </w14:textFill>
        </w:rPr>
        <w:t>截至2024年末，全市共有33714</w:t>
      </w:r>
      <w:r>
        <w:rPr>
          <w:rFonts w:ascii="Times New Roman" w:hAnsi="Times New Roman" w:eastAsia="仿宋_GB2312"/>
          <w:color w:val="000000" w:themeColor="text1"/>
          <w:kern w:val="0"/>
          <w:sz w:val="32"/>
          <w:szCs w:val="32"/>
          <w:lang w:val="zh-TW" w:eastAsia="zh-TW"/>
          <w14:textFill>
            <w14:solidFill>
              <w14:schemeClr w14:val="tx1"/>
            </w14:solidFill>
          </w14:textFill>
        </w:rPr>
        <w:t>名</w:t>
      </w:r>
      <w:r>
        <w:rPr>
          <w:rFonts w:ascii="Times New Roman" w:hAnsi="Times New Roman" w:eastAsia="仿宋_GB2312"/>
          <w:color w:val="000000" w:themeColor="text1"/>
          <w:kern w:val="0"/>
          <w:sz w:val="32"/>
          <w:szCs w:val="32"/>
          <w:lang w:val="zh-TW"/>
          <w14:textFill>
            <w14:solidFill>
              <w14:schemeClr w14:val="tx1"/>
            </w14:solidFill>
          </w14:textFill>
        </w:rPr>
        <w:t>记录</w:t>
      </w:r>
      <w:r>
        <w:rPr>
          <w:rFonts w:ascii="Times New Roman" w:hAnsi="Times New Roman" w:eastAsia="仿宋_GB2312"/>
          <w:color w:val="000000" w:themeColor="text1"/>
          <w:kern w:val="0"/>
          <w:sz w:val="32"/>
          <w:szCs w:val="32"/>
          <w:lang w:val="zh-TW" w:eastAsia="zh-TW"/>
          <w14:textFill>
            <w14:solidFill>
              <w14:schemeClr w14:val="tx1"/>
            </w14:solidFill>
          </w14:textFill>
        </w:rPr>
        <w:t>在职</w:t>
      </w:r>
      <w:r>
        <w:rPr>
          <w:rFonts w:ascii="Times New Roman" w:hAnsi="Times New Roman" w:eastAsia="仿宋_GB2312"/>
          <w:color w:val="000000" w:themeColor="text1"/>
          <w:kern w:val="0"/>
          <w:sz w:val="32"/>
          <w:szCs w:val="32"/>
          <w:lang w:val="zh-TW"/>
          <w14:textFill>
            <w14:solidFill>
              <w14:schemeClr w14:val="tx1"/>
            </w14:solidFill>
          </w14:textFill>
        </w:rPr>
        <w:t>从业人员</w:t>
      </w:r>
      <w:r>
        <w:rPr>
          <w:rFonts w:ascii="Times New Roman" w:hAnsi="Times New Roman" w:eastAsia="仿宋_GB2312"/>
          <w:color w:val="000000" w:themeColor="text1"/>
          <w:kern w:val="0"/>
          <w:sz w:val="32"/>
          <w:szCs w:val="32"/>
          <w:vertAlign w:val="superscript"/>
          <w:lang w:val="zh-TW"/>
          <w14:textFill>
            <w14:solidFill>
              <w14:schemeClr w14:val="tx1"/>
            </w14:solidFill>
          </w14:textFill>
        </w:rPr>
        <w:footnoteReference w:id="12"/>
      </w:r>
      <w:r>
        <w:rPr>
          <w:rFonts w:ascii="Times New Roman" w:hAnsi="Times New Roman" w:eastAsia="仿宋_GB2312"/>
          <w:color w:val="000000" w:themeColor="text1"/>
          <w:kern w:val="0"/>
          <w:sz w:val="32"/>
          <w:szCs w:val="32"/>
          <w:lang w:val="zh-TW"/>
          <w14:textFill>
            <w14:solidFill>
              <w14:schemeClr w14:val="tx1"/>
            </w14:solidFill>
          </w14:textFill>
        </w:rPr>
        <w:t>。其中信用等级为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lang w:val="zh-TW"/>
          <w14:textFill>
            <w14:solidFill>
              <w14:schemeClr w14:val="tx1"/>
            </w14:solidFill>
          </w14:textFill>
        </w:rPr>
        <w:t>的</w:t>
      </w:r>
      <w:r>
        <w:rPr>
          <w:rFonts w:hint="eastAsia" w:ascii="Times New Roman" w:hAnsi="Times New Roman" w:eastAsia="仿宋_GB2312"/>
          <w:color w:val="000000" w:themeColor="text1"/>
          <w:kern w:val="0"/>
          <w:sz w:val="32"/>
          <w:szCs w:val="32"/>
          <w:lang w:val="zh-TW"/>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2365人，</w:t>
      </w:r>
      <w:r>
        <w:rPr>
          <w:rFonts w:hint="eastAsia" w:ascii="仿宋_GB2312" w:hAnsi="Times New Roman" w:eastAsia="仿宋_GB2312"/>
          <w:color w:val="000000" w:themeColor="text1"/>
          <w:kern w:val="0"/>
          <w:sz w:val="32"/>
          <w:szCs w:val="32"/>
          <w:lang w:val="zh-TW"/>
          <w14:textFill>
            <w14:solidFill>
              <w14:schemeClr w14:val="tx1"/>
            </w14:solidFill>
          </w14:textFill>
        </w:rPr>
        <w:t>“良好”</w:t>
      </w:r>
      <w:r>
        <w:rPr>
          <w:rFonts w:ascii="Times New Roman" w:hAnsi="Times New Roman" w:eastAsia="仿宋_GB2312"/>
          <w:color w:val="000000" w:themeColor="text1"/>
          <w:kern w:val="0"/>
          <w:sz w:val="32"/>
          <w:szCs w:val="32"/>
          <w:lang w:val="zh-TW"/>
          <w14:textFill>
            <w14:solidFill>
              <w14:schemeClr w14:val="tx1"/>
            </w14:solidFill>
          </w14:textFill>
        </w:rPr>
        <w:t>的</w:t>
      </w:r>
      <w:r>
        <w:rPr>
          <w:rFonts w:hint="eastAsia" w:ascii="Times New Roman" w:hAnsi="Times New Roman" w:eastAsia="仿宋_GB2312"/>
          <w:color w:val="000000" w:themeColor="text1"/>
          <w:kern w:val="0"/>
          <w:sz w:val="32"/>
          <w:szCs w:val="32"/>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2555人</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仿宋_GB2312" w:hAnsi="Times New Roman" w:eastAsia="仿宋_GB2312"/>
          <w:color w:val="000000" w:themeColor="text1"/>
          <w:kern w:val="0"/>
          <w:sz w:val="32"/>
          <w:szCs w:val="32"/>
          <w:lang w:val="zh-TW"/>
          <w14:textFill>
            <w14:solidFill>
              <w14:schemeClr w14:val="tx1"/>
            </w14:solidFill>
          </w14:textFill>
        </w:rPr>
        <w:t>“诚信”</w:t>
      </w:r>
      <w:r>
        <w:rPr>
          <w:rFonts w:ascii="Times New Roman" w:hAnsi="Times New Roman" w:eastAsia="仿宋_GB2312"/>
          <w:color w:val="000000" w:themeColor="text1"/>
          <w:kern w:val="0"/>
          <w:sz w:val="32"/>
          <w:szCs w:val="32"/>
          <w:lang w:val="zh-TW"/>
          <w14:textFill>
            <w14:solidFill>
              <w14:schemeClr w14:val="tx1"/>
            </w14:solidFill>
          </w14:textFill>
        </w:rPr>
        <w:t>的共计22062人</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hint="eastAsia" w:ascii="仿宋_GB2312" w:hAnsi="Times New Roman" w:eastAsia="仿宋_GB2312"/>
          <w:color w:val="000000" w:themeColor="text1"/>
          <w:kern w:val="0"/>
          <w:sz w:val="32"/>
          <w:szCs w:val="32"/>
          <w:lang w:val="zh-TW"/>
          <w14:textFill>
            <w14:solidFill>
              <w14:schemeClr w14:val="tx1"/>
            </w14:solidFill>
          </w14:textFill>
        </w:rPr>
        <w:t>“暂定诚信”</w:t>
      </w:r>
      <w:r>
        <w:rPr>
          <w:rFonts w:ascii="Times New Roman" w:hAnsi="Times New Roman" w:eastAsia="仿宋_GB2312"/>
          <w:color w:val="000000" w:themeColor="text1"/>
          <w:kern w:val="0"/>
          <w:sz w:val="32"/>
          <w:szCs w:val="32"/>
          <w:lang w:val="zh-TW"/>
          <w14:textFill>
            <w14:solidFill>
              <w14:schemeClr w14:val="tx1"/>
            </w14:solidFill>
          </w14:textFill>
        </w:rPr>
        <w:t>的有6732人</w:t>
      </w:r>
      <w:bookmarkEnd w:id="65"/>
      <w:r>
        <w:rPr>
          <w:rFonts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见</w:t>
      </w:r>
      <w:r>
        <w:rPr>
          <w:rFonts w:ascii="Times New Roman" w:hAnsi="Times New Roman" w:eastAsia="仿宋_GB2312"/>
          <w:color w:val="000000" w:themeColor="text1"/>
          <w:kern w:val="0"/>
          <w:sz w:val="32"/>
          <w:szCs w:val="32"/>
          <w:lang w:val="zh-TW"/>
          <w14:textFill>
            <w14:solidFill>
              <w14:schemeClr w14:val="tx1"/>
            </w14:solidFill>
          </w14:textFill>
        </w:rPr>
        <w:t>图1</w:t>
      </w:r>
      <w:r>
        <w:rPr>
          <w:rFonts w:hint="eastAsia" w:ascii="Times New Roman" w:hAnsi="Times New Roman" w:eastAsia="仿宋_GB2312"/>
          <w:color w:val="000000" w:themeColor="text1"/>
          <w:kern w:val="0"/>
          <w:sz w:val="32"/>
          <w:szCs w:val="32"/>
          <w14:textFill>
            <w14:solidFill>
              <w14:schemeClr w14:val="tx1"/>
            </w14:solidFill>
          </w14:textFill>
        </w:rPr>
        <w:t>3</w:t>
      </w:r>
      <w:r>
        <w:rPr>
          <w:rFonts w:ascii="Times New Roman" w:hAnsi="Times New Roman" w:eastAsia="仿宋_GB2312"/>
          <w:color w:val="000000" w:themeColor="text1"/>
          <w:kern w:val="0"/>
          <w:sz w:val="32"/>
          <w:szCs w:val="32"/>
          <w:lang w:val="zh-TW"/>
          <w14:textFill>
            <w14:solidFill>
              <w14:schemeClr w14:val="tx1"/>
            </w14:solidFill>
          </w14:textFill>
        </w:rPr>
        <w:t>）。信用等级为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“诚信”和“暂定诚信”</w:t>
      </w:r>
      <w:r>
        <w:rPr>
          <w:rFonts w:ascii="Times New Roman" w:hAnsi="Times New Roman" w:eastAsia="仿宋_GB2312"/>
          <w:color w:val="000000" w:themeColor="text1"/>
          <w:kern w:val="0"/>
          <w:sz w:val="32"/>
          <w:szCs w:val="32"/>
          <w:lang w:val="zh-TW"/>
          <w14:textFill>
            <w14:solidFill>
              <w14:schemeClr w14:val="tx1"/>
            </w14:solidFill>
          </w14:textFill>
        </w:rPr>
        <w:t>的占比合计为85.4%。与2023年比较，信用等级为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lang w:val="zh-TW"/>
          <w14:textFill>
            <w14:solidFill>
              <w14:schemeClr w14:val="tx1"/>
            </w14:solidFill>
          </w14:textFill>
        </w:rPr>
        <w:t>的从业人员增加了822人，</w:t>
      </w:r>
      <w:r>
        <w:rPr>
          <w:rFonts w:hint="eastAsia" w:ascii="仿宋_GB2312" w:hAnsi="Times New Roman" w:eastAsia="仿宋_GB2312"/>
          <w:color w:val="000000" w:themeColor="text1"/>
          <w:kern w:val="0"/>
          <w:sz w:val="32"/>
          <w:szCs w:val="32"/>
          <w:lang w:val="zh-TW"/>
          <w14:textFill>
            <w14:solidFill>
              <w14:schemeClr w14:val="tx1"/>
            </w14:solidFill>
          </w14:textFill>
        </w:rPr>
        <w:t>“良好”</w:t>
      </w:r>
      <w:r>
        <w:rPr>
          <w:rFonts w:ascii="Times New Roman" w:hAnsi="Times New Roman" w:eastAsia="仿宋_GB2312"/>
          <w:color w:val="000000" w:themeColor="text1"/>
          <w:kern w:val="0"/>
          <w:sz w:val="32"/>
          <w:szCs w:val="32"/>
          <w:lang w:val="zh-TW"/>
          <w14:textFill>
            <w14:solidFill>
              <w14:schemeClr w14:val="tx1"/>
            </w14:solidFill>
          </w14:textFill>
        </w:rPr>
        <w:t>等级从业人员增加了1297人。</w:t>
      </w:r>
    </w:p>
    <w:p w14:paraId="65F179D0">
      <w:pPr>
        <w:jc w:val="center"/>
        <w:rPr>
          <w:rFonts w:ascii="Times New Roman" w:hAnsi="Times New Roman" w:eastAsia="等线"/>
          <w:color w:val="FF0000"/>
          <w:sz w:val="24"/>
        </w:rPr>
      </w:pPr>
      <w:r>
        <w:rPr>
          <w:rFonts w:ascii="Times New Roman" w:hAnsi="Times New Roman" w:eastAsia="等线"/>
          <w:color w:val="FF0000"/>
          <w:sz w:val="24"/>
        </w:rPr>
        <w:drawing>
          <wp:inline distT="0" distB="0" distL="0" distR="0">
            <wp:extent cx="4578350" cy="27495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4578350" cy="2749550"/>
                    </a:xfrm>
                    <a:prstGeom prst="rect">
                      <a:avLst/>
                    </a:prstGeom>
                    <a:noFill/>
                  </pic:spPr>
                </pic:pic>
              </a:graphicData>
            </a:graphic>
          </wp:inline>
        </w:drawing>
      </w:r>
    </w:p>
    <w:p w14:paraId="0CBC0379">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图1</w:t>
      </w:r>
      <w:r>
        <w:rPr>
          <w:rFonts w:hint="eastAsia" w:ascii="Times New Roman" w:hAnsi="Times New Roman"/>
          <w:color w:val="000000" w:themeColor="text1"/>
          <w:sz w:val="24"/>
          <w14:textFill>
            <w14:solidFill>
              <w14:schemeClr w14:val="tx1"/>
            </w14:solidFill>
          </w14:textFill>
        </w:rPr>
        <w:t>3</w:t>
      </w:r>
      <w:r>
        <w:rPr>
          <w:rFonts w:ascii="Times New Roman" w:hAnsi="Times New Roman"/>
          <w:color w:val="000000" w:themeColor="text1"/>
          <w:sz w:val="24"/>
          <w14:textFill>
            <w14:solidFill>
              <w14:schemeClr w14:val="tx1"/>
            </w14:solidFill>
          </w14:textFill>
        </w:rPr>
        <w:t xml:space="preserve">  从业人员信用等级结构</w:t>
      </w:r>
    </w:p>
    <w:p w14:paraId="0E2BD74C">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134502AE">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14:textFill>
            <w14:solidFill>
              <w14:schemeClr w14:val="tx1"/>
            </w14:solidFill>
          </w14:textFill>
        </w:rPr>
        <w:t>潘婉霞等</w:t>
      </w:r>
      <w:r>
        <w:rPr>
          <w:rFonts w:hint="eastAsia" w:ascii="Times New Roman" w:hAnsi="Times New Roman" w:eastAsia="仿宋_GB2312"/>
          <w:color w:val="000000" w:themeColor="text1"/>
          <w:kern w:val="0"/>
          <w:sz w:val="32"/>
          <w:szCs w:val="32"/>
          <w14:textFill>
            <w14:solidFill>
              <w14:schemeClr w14:val="tx1"/>
            </w14:solidFill>
          </w14:textFill>
        </w:rPr>
        <w:t>49名从业人员</w:t>
      </w:r>
      <w:r>
        <w:rPr>
          <w:rFonts w:ascii="Times New Roman" w:hAnsi="Times New Roman" w:eastAsia="仿宋_GB2312"/>
          <w:color w:val="000000" w:themeColor="text1"/>
          <w:kern w:val="0"/>
          <w:sz w:val="32"/>
          <w:szCs w:val="32"/>
          <w14:textFill>
            <w14:solidFill>
              <w14:schemeClr w14:val="tx1"/>
            </w14:solidFill>
          </w14:textFill>
        </w:rPr>
        <w:t>自实行评价以来连续</w:t>
      </w:r>
      <w:r>
        <w:rPr>
          <w:rFonts w:hint="eastAsia" w:ascii="Times New Roman" w:hAnsi="Times New Roman" w:eastAsia="仿宋_GB2312"/>
          <w:color w:val="000000" w:themeColor="text1"/>
          <w:kern w:val="0"/>
          <w:sz w:val="32"/>
          <w:szCs w:val="32"/>
          <w14:textFill>
            <w14:solidFill>
              <w14:schemeClr w14:val="tx1"/>
            </w14:solidFill>
          </w14:textFill>
        </w:rPr>
        <w:t>6年</w:t>
      </w:r>
      <w:r>
        <w:rPr>
          <w:rFonts w:ascii="Times New Roman" w:hAnsi="Times New Roman" w:eastAsia="仿宋_GB2312"/>
          <w:color w:val="000000" w:themeColor="text1"/>
          <w:kern w:val="0"/>
          <w:sz w:val="32"/>
          <w:szCs w:val="32"/>
          <w14:textFill>
            <w14:solidFill>
              <w14:schemeClr w14:val="tx1"/>
            </w14:solidFill>
          </w14:textFill>
        </w:rPr>
        <w:t>信用等级为</w:t>
      </w: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优质</w:t>
      </w: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蔡平等</w:t>
      </w:r>
      <w:r>
        <w:rPr>
          <w:rFonts w:hint="eastAsia" w:ascii="Times New Roman" w:hAnsi="Times New Roman" w:eastAsia="仿宋_GB2312"/>
          <w:color w:val="000000" w:themeColor="text1"/>
          <w:kern w:val="0"/>
          <w:sz w:val="32"/>
          <w:szCs w:val="32"/>
          <w:lang w:val="zh-TW"/>
          <w14:textFill>
            <w14:solidFill>
              <w14:schemeClr w14:val="tx1"/>
            </w14:solidFill>
          </w14:textFill>
        </w:rPr>
        <w:t>191</w:t>
      </w:r>
      <w:r>
        <w:rPr>
          <w:rFonts w:ascii="Times New Roman" w:hAnsi="Times New Roman" w:eastAsia="仿宋_GB2312"/>
          <w:color w:val="000000" w:themeColor="text1"/>
          <w:kern w:val="0"/>
          <w:sz w:val="32"/>
          <w:szCs w:val="32"/>
          <w:lang w:val="zh-TW"/>
          <w14:textFill>
            <w14:solidFill>
              <w14:schemeClr w14:val="tx1"/>
            </w14:solidFill>
          </w14:textFill>
        </w:rPr>
        <w:t>名从业人员连续5年信用等级为</w:t>
      </w: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优质</w:t>
      </w:r>
      <w:r>
        <w:rPr>
          <w:rFonts w:hint="eastAsia" w:ascii="Times New Roman" w:hAnsi="Times New Roman" w:eastAsia="仿宋_GB2312"/>
          <w:color w:val="000000" w:themeColor="text1"/>
          <w:kern w:val="0"/>
          <w:sz w:val="32"/>
          <w:szCs w:val="32"/>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2024年，全市有赵惠玲、陈妙嫦等1251名从业人员信用等级晋升至</w:t>
      </w: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优质</w:t>
      </w:r>
      <w:r>
        <w:rPr>
          <w:rFonts w:hint="eastAsia" w:ascii="Times New Roman" w:hAnsi="Times New Roman" w:eastAsia="仿宋_GB2312"/>
          <w:color w:val="000000" w:themeColor="text1"/>
          <w:kern w:val="0"/>
          <w:sz w:val="32"/>
          <w:szCs w:val="32"/>
          <w14:textFill>
            <w14:solidFill>
              <w14:schemeClr w14:val="tx1"/>
            </w14:solidFill>
          </w14:textFill>
        </w:rPr>
        <w:t>”</w:t>
      </w:r>
      <w:r>
        <w:rPr>
          <w:rFonts w:ascii="Times New Roman" w:hAnsi="Times New Roman" w:eastAsia="仿宋_GB2312"/>
          <w:color w:val="000000" w:themeColor="text1"/>
          <w:kern w:val="0"/>
          <w:sz w:val="32"/>
          <w:szCs w:val="32"/>
          <w14:textFill>
            <w14:solidFill>
              <w14:schemeClr w14:val="tx1"/>
            </w14:solidFill>
          </w14:textFill>
        </w:rPr>
        <w:t>行列</w:t>
      </w:r>
      <w:r>
        <w:rPr>
          <w:rFonts w:hint="eastAsia" w:ascii="Times New Roman" w:hAnsi="Times New Roman" w:eastAsia="仿宋_GB2312"/>
          <w:color w:val="000000" w:themeColor="text1"/>
          <w:kern w:val="0"/>
          <w:sz w:val="32"/>
          <w:szCs w:val="32"/>
          <w14:textFill>
            <w14:solidFill>
              <w14:schemeClr w14:val="tx1"/>
            </w14:solidFill>
          </w14:textFill>
        </w:rPr>
        <w:t>。</w:t>
      </w:r>
    </w:p>
    <w:p w14:paraId="54F70C61">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50B5241D">
      <w:pPr>
        <w:spacing w:line="360" w:lineRule="auto"/>
        <w:jc w:val="center"/>
        <w:rPr>
          <w:rFonts w:ascii="Times New Roman" w:hAnsi="Times New Roman"/>
          <w:color w:val="000000" w:themeColor="text1"/>
          <w:sz w:val="22"/>
          <w14:textFill>
            <w14:solidFill>
              <w14:schemeClr w14:val="tx1"/>
            </w14:solidFill>
          </w14:textFill>
        </w:rPr>
      </w:pPr>
      <w:r>
        <w:rPr>
          <w:rFonts w:ascii="Times New Roman" w:hAnsi="Times New Roman"/>
          <w:color w:val="000000" w:themeColor="text1"/>
          <w:sz w:val="22"/>
          <w14:textFill>
            <w14:solidFill>
              <w14:schemeClr w14:val="tx1"/>
            </w14:solidFill>
          </w14:textFill>
        </w:rPr>
        <w:drawing>
          <wp:inline distT="0" distB="0" distL="0" distR="0">
            <wp:extent cx="1835785" cy="18357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836000" cy="1836000"/>
                    </a:xfrm>
                    <a:prstGeom prst="rect">
                      <a:avLst/>
                    </a:prstGeom>
                  </pic:spPr>
                </pic:pic>
              </a:graphicData>
            </a:graphic>
          </wp:inline>
        </w:drawing>
      </w:r>
    </w:p>
    <w:p w14:paraId="2B1C07F2">
      <w:pPr>
        <w:spacing w:line="360" w:lineRule="auto"/>
        <w:jc w:val="center"/>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color w:val="000000" w:themeColor="text1"/>
          <w:sz w:val="24"/>
          <w14:textFill>
            <w14:solidFill>
              <w14:schemeClr w14:val="tx1"/>
            </w14:solidFill>
          </w14:textFill>
        </w:rPr>
        <w:t>20</w:t>
      </w:r>
      <w:r>
        <w:rPr>
          <w:rFonts w:hint="eastAsia" w:ascii="Times New Roman" w:hAnsi="Times New Roman"/>
          <w:color w:val="000000" w:themeColor="text1"/>
          <w:sz w:val="24"/>
          <w14:textFill>
            <w14:solidFill>
              <w14:schemeClr w14:val="tx1"/>
            </w14:solidFill>
          </w14:textFill>
        </w:rPr>
        <w:t>19年</w:t>
      </w:r>
      <w:r>
        <w:rPr>
          <w:rFonts w:ascii="Times New Roman" w:hAnsi="Times New Roman"/>
          <w:color w:val="000000" w:themeColor="text1"/>
          <w:sz w:val="24"/>
          <w14:textFill>
            <w14:solidFill>
              <w14:schemeClr w14:val="tx1"/>
            </w14:solidFill>
          </w14:textFill>
        </w:rPr>
        <w:t>-2024年广州市信用等级连续</w:t>
      </w:r>
      <w:r>
        <w:rPr>
          <w:rFonts w:hint="eastAsia" w:ascii="Times New Roman" w:hAnsi="Times New Roman"/>
          <w:color w:val="000000" w:themeColor="text1"/>
          <w:sz w:val="24"/>
          <w14:textFill>
            <w14:solidFill>
              <w14:schemeClr w14:val="tx1"/>
            </w14:solidFill>
          </w14:textFill>
        </w:rPr>
        <w:t>6</w:t>
      </w:r>
      <w:r>
        <w:rPr>
          <w:rFonts w:ascii="Times New Roman" w:hAnsi="Times New Roman"/>
          <w:color w:val="000000" w:themeColor="text1"/>
          <w:sz w:val="24"/>
          <w14:textFill>
            <w14:solidFill>
              <w14:schemeClr w14:val="tx1"/>
            </w14:solidFill>
          </w14:textFill>
        </w:rPr>
        <w:t>年为</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优质</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的从业人员名单</w:t>
      </w:r>
    </w:p>
    <w:p w14:paraId="0B20E748">
      <w:pPr>
        <w:spacing w:line="360" w:lineRule="auto"/>
        <w:jc w:val="center"/>
        <w:rPr>
          <w:rFonts w:ascii="Times New Roman" w:hAnsi="Times New Roman"/>
          <w:color w:val="000000" w:themeColor="text1"/>
          <w:sz w:val="22"/>
          <w:lang w:eastAsia="zh-TW"/>
          <w14:textFill>
            <w14:solidFill>
              <w14:schemeClr w14:val="tx1"/>
            </w14:solidFill>
          </w14:textFill>
        </w:rPr>
      </w:pPr>
    </w:p>
    <w:p w14:paraId="4679CB3A">
      <w:pPr>
        <w:spacing w:line="360" w:lineRule="auto"/>
        <w:jc w:val="center"/>
        <w:rPr>
          <w:rFonts w:ascii="Times New Roman" w:hAnsi="Times New Roman"/>
          <w:color w:val="000000" w:themeColor="text1"/>
          <w:szCs w:val="20"/>
          <w14:textFill>
            <w14:solidFill>
              <w14:schemeClr w14:val="tx1"/>
            </w14:solidFill>
          </w14:textFill>
        </w:rPr>
      </w:pPr>
      <w:r>
        <w:rPr>
          <w:rFonts w:ascii="Times New Roman" w:hAnsi="Times New Roman"/>
          <w:color w:val="000000" w:themeColor="text1"/>
          <w:szCs w:val="20"/>
          <w14:textFill>
            <w14:solidFill>
              <w14:schemeClr w14:val="tx1"/>
            </w14:solidFill>
          </w14:textFill>
        </w:rPr>
        <w:drawing>
          <wp:inline distT="0" distB="0" distL="0" distR="0">
            <wp:extent cx="1835785" cy="183578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1836000" cy="1836000"/>
                    </a:xfrm>
                    <a:prstGeom prst="rect">
                      <a:avLst/>
                    </a:prstGeom>
                  </pic:spPr>
                </pic:pic>
              </a:graphicData>
            </a:graphic>
          </wp:inline>
        </w:drawing>
      </w:r>
    </w:p>
    <w:p w14:paraId="41AB5F66">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2020</w:t>
      </w:r>
      <w:r>
        <w:rPr>
          <w:rFonts w:hint="eastAsia" w:ascii="Times New Roman" w:hAnsi="Times New Roman"/>
          <w:color w:val="000000" w:themeColor="text1"/>
          <w:sz w:val="24"/>
          <w14:textFill>
            <w14:solidFill>
              <w14:schemeClr w14:val="tx1"/>
            </w14:solidFill>
          </w14:textFill>
        </w:rPr>
        <w:t>年</w:t>
      </w:r>
      <w:r>
        <w:rPr>
          <w:rFonts w:ascii="Times New Roman" w:hAnsi="Times New Roman"/>
          <w:color w:val="000000" w:themeColor="text1"/>
          <w:sz w:val="24"/>
          <w14:textFill>
            <w14:solidFill>
              <w14:schemeClr w14:val="tx1"/>
            </w14:solidFill>
          </w14:textFill>
        </w:rPr>
        <w:t>-2024年广州市信用等级连续5年为</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优质</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的从业人员名单</w:t>
      </w:r>
    </w:p>
    <w:p w14:paraId="2149FE22">
      <w:pPr>
        <w:spacing w:line="360" w:lineRule="auto"/>
        <w:jc w:val="center"/>
        <w:rPr>
          <w:rFonts w:ascii="Times New Roman" w:hAnsi="Times New Roman" w:eastAsia="仿宋_GB2312"/>
          <w:color w:val="000000" w:themeColor="text1"/>
          <w:kern w:val="0"/>
          <w:sz w:val="32"/>
          <w:szCs w:val="32"/>
          <w:lang w:val="zh-TW"/>
          <w14:textFill>
            <w14:solidFill>
              <w14:schemeClr w14:val="tx1"/>
            </w14:solidFill>
          </w14:textFill>
        </w:rPr>
      </w:pPr>
    </w:p>
    <w:p w14:paraId="5E77DFE9">
      <w:pPr>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drawing>
          <wp:inline distT="0" distB="0" distL="0" distR="0">
            <wp:extent cx="1835785" cy="183578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1836000" cy="1836000"/>
                    </a:xfrm>
                    <a:prstGeom prst="rect">
                      <a:avLst/>
                    </a:prstGeom>
                  </pic:spPr>
                </pic:pic>
              </a:graphicData>
            </a:graphic>
          </wp:inline>
        </w:drawing>
      </w:r>
    </w:p>
    <w:p w14:paraId="0198D44F">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2022</w:t>
      </w:r>
      <w:r>
        <w:rPr>
          <w:rFonts w:hint="eastAsia" w:ascii="Times New Roman" w:hAnsi="Times New Roman"/>
          <w:color w:val="000000" w:themeColor="text1"/>
          <w:sz w:val="24"/>
          <w14:textFill>
            <w14:solidFill>
              <w14:schemeClr w14:val="tx1"/>
            </w14:solidFill>
          </w14:textFill>
        </w:rPr>
        <w:t>年</w:t>
      </w:r>
      <w:r>
        <w:rPr>
          <w:rFonts w:ascii="Times New Roman" w:hAnsi="Times New Roman"/>
          <w:color w:val="000000" w:themeColor="text1"/>
          <w:sz w:val="24"/>
          <w14:textFill>
            <w14:solidFill>
              <w14:schemeClr w14:val="tx1"/>
            </w14:solidFill>
          </w14:textFill>
        </w:rPr>
        <w:t>-2024年广州市信用等级连续3年为</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优质</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的从业人员名单</w:t>
      </w:r>
    </w:p>
    <w:p w14:paraId="2F0396F0">
      <w:pPr>
        <w:spacing w:line="360" w:lineRule="auto"/>
        <w:jc w:val="center"/>
        <w:rPr>
          <w:rFonts w:ascii="Times New Roman" w:hAnsi="Times New Roman"/>
          <w:color w:val="000000" w:themeColor="text1"/>
          <w:sz w:val="24"/>
          <w14:textFill>
            <w14:solidFill>
              <w14:schemeClr w14:val="tx1"/>
            </w14:solidFill>
          </w14:textFill>
        </w:rPr>
      </w:pPr>
    </w:p>
    <w:p w14:paraId="0D74CD17">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drawing>
          <wp:inline distT="0" distB="0" distL="0" distR="0">
            <wp:extent cx="1835785" cy="1835785"/>
            <wp:effectExtent l="0" t="0" r="0" b="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836000" cy="1836000"/>
                    </a:xfrm>
                    <a:prstGeom prst="rect">
                      <a:avLst/>
                    </a:prstGeom>
                  </pic:spPr>
                </pic:pic>
              </a:graphicData>
            </a:graphic>
          </wp:inline>
        </w:drawing>
      </w:r>
    </w:p>
    <w:p w14:paraId="30901A8F">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2024年广州市房地产中介从业人员</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优质</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信用等级名单</w:t>
      </w:r>
    </w:p>
    <w:p w14:paraId="6F92BE3B">
      <w:pPr>
        <w:spacing w:line="360" w:lineRule="auto"/>
        <w:jc w:val="center"/>
        <w:rPr>
          <w:rFonts w:ascii="Times New Roman" w:hAnsi="Times New Roman"/>
          <w:color w:val="000000" w:themeColor="text1"/>
          <w:sz w:val="24"/>
          <w14:textFill>
            <w14:solidFill>
              <w14:schemeClr w14:val="tx1"/>
            </w14:solidFill>
          </w14:textFill>
        </w:rPr>
      </w:pPr>
    </w:p>
    <w:p w14:paraId="57E3C018">
      <w:pPr>
        <w:spacing w:line="360" w:lineRule="auto"/>
        <w:jc w:val="center"/>
        <w:rPr>
          <w:rFonts w:ascii="Times New Roman" w:hAnsi="Times New Roman"/>
          <w:color w:val="FF0000"/>
          <w:sz w:val="24"/>
        </w:rPr>
      </w:pPr>
      <w:r>
        <w:rPr>
          <w:rFonts w:ascii="Times New Roman" w:hAnsi="Times New Roman"/>
          <w:color w:val="FF0000"/>
          <w:sz w:val="24"/>
        </w:rPr>
        <w:drawing>
          <wp:inline distT="0" distB="0" distL="0" distR="0">
            <wp:extent cx="1835785" cy="1835785"/>
            <wp:effectExtent l="0" t="0" r="0" b="0"/>
            <wp:docPr id="36" name="图片 36" descr="D:\研究部\行业信用白皮书与行业生态研究报告\2024年中介行业信用白皮书\优质、良好、连续3年优质名单及二维码\2024年广州市信用等级晋升为优质的从业人员名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研究部\行业信用白皮书与行业生态研究报告\2024年中介行业信用白皮书\优质、良好、连续3年优质名单及二维码\2024年广州市信用等级晋升为优质的从业人员名单.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836000" cy="1836000"/>
                    </a:xfrm>
                    <a:prstGeom prst="rect">
                      <a:avLst/>
                    </a:prstGeom>
                    <a:noFill/>
                    <a:ln>
                      <a:noFill/>
                    </a:ln>
                  </pic:spPr>
                </pic:pic>
              </a:graphicData>
            </a:graphic>
          </wp:inline>
        </w:drawing>
      </w:r>
    </w:p>
    <w:p w14:paraId="00F3F3F4">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2024年广州市信用等级晋升为</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优质</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的从业人员名单</w:t>
      </w:r>
    </w:p>
    <w:p w14:paraId="302D2B6D">
      <w:pPr>
        <w:spacing w:line="360" w:lineRule="auto"/>
        <w:jc w:val="center"/>
        <w:rPr>
          <w:rFonts w:ascii="Times New Roman" w:hAnsi="Times New Roman"/>
          <w:color w:val="000000" w:themeColor="text1"/>
          <w:sz w:val="24"/>
          <w14:textFill>
            <w14:solidFill>
              <w14:schemeClr w14:val="tx1"/>
            </w14:solidFill>
          </w14:textFill>
        </w:rPr>
      </w:pPr>
    </w:p>
    <w:p w14:paraId="5CFD3EA1">
      <w:pPr>
        <w:pStyle w:val="26"/>
        <w:ind w:firstLine="0"/>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drawing>
          <wp:inline distT="0" distB="0" distL="0" distR="0">
            <wp:extent cx="1835785" cy="1835785"/>
            <wp:effectExtent l="0" t="0" r="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1836000" cy="1836000"/>
                    </a:xfrm>
                    <a:prstGeom prst="rect">
                      <a:avLst/>
                    </a:prstGeom>
                  </pic:spPr>
                </pic:pic>
              </a:graphicData>
            </a:graphic>
          </wp:inline>
        </w:drawing>
      </w:r>
    </w:p>
    <w:p w14:paraId="1729858D">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2024年广州市房地产中介从业人员</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良好</w:t>
      </w: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信用等级名单</w:t>
      </w:r>
    </w:p>
    <w:p w14:paraId="54A6AD83">
      <w:pPr>
        <w:pStyle w:val="3"/>
        <w:spacing w:before="240" w:after="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66" w:name="_Toc98168320"/>
      <w:bookmarkStart w:id="67" w:name="_Toc192845448"/>
      <w:r>
        <w:rPr>
          <w:rFonts w:ascii="Times New Roman" w:hAnsi="Times New Roman" w:eastAsia="黑体" w:cs="Times New Roman"/>
          <w:bCs w:val="0"/>
          <w:color w:val="000000" w:themeColor="text1"/>
          <w:sz w:val="28"/>
          <w:szCs w:val="28"/>
          <w14:textFill>
            <w14:solidFill>
              <w14:schemeClr w14:val="tx1"/>
            </w14:solidFill>
          </w14:textFill>
        </w:rPr>
        <w:t>（二）市中介协会个人会员情况</w:t>
      </w:r>
      <w:bookmarkEnd w:id="66"/>
      <w:bookmarkEnd w:id="67"/>
    </w:p>
    <w:p w14:paraId="3436569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有</w:t>
      </w:r>
      <w:r>
        <w:rPr>
          <w:rFonts w:hint="eastAsia" w:ascii="Times New Roman" w:hAnsi="Times New Roman" w:eastAsia="仿宋_GB2312"/>
          <w:color w:val="000000" w:themeColor="text1"/>
          <w:kern w:val="0"/>
          <w:sz w:val="32"/>
          <w:szCs w:val="32"/>
          <w:lang w:val="zh-TW"/>
          <w14:textFill>
            <w14:solidFill>
              <w14:schemeClr w14:val="tx1"/>
            </w14:solidFill>
          </w14:textFill>
        </w:rPr>
        <w:t>4443</w:t>
      </w:r>
      <w:r>
        <w:rPr>
          <w:rFonts w:ascii="Times New Roman" w:hAnsi="Times New Roman" w:eastAsia="仿宋_GB2312"/>
          <w:color w:val="000000" w:themeColor="text1"/>
          <w:kern w:val="0"/>
          <w:sz w:val="32"/>
          <w:szCs w:val="32"/>
          <w:lang w:val="zh-TW"/>
          <w14:textFill>
            <w14:solidFill>
              <w14:schemeClr w14:val="tx1"/>
            </w14:solidFill>
          </w14:textFill>
        </w:rPr>
        <w:t>名记录在职的从业人员为市中介协会个人会员。其中信用等级为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lang w:val="zh-TW"/>
          <w14:textFill>
            <w14:solidFill>
              <w14:schemeClr w14:val="tx1"/>
            </w14:solidFill>
          </w14:textFill>
        </w:rPr>
        <w:t>的共</w:t>
      </w:r>
      <w:r>
        <w:rPr>
          <w:rFonts w:hint="eastAsia" w:ascii="Times New Roman" w:hAnsi="Times New Roman" w:eastAsia="仿宋_GB2312"/>
          <w:color w:val="000000" w:themeColor="text1"/>
          <w:kern w:val="0"/>
          <w:sz w:val="32"/>
          <w:szCs w:val="32"/>
          <w:lang w:val="zh-TW"/>
          <w14:textFill>
            <w14:solidFill>
              <w14:schemeClr w14:val="tx1"/>
            </w14:solidFill>
          </w14:textFill>
        </w:rPr>
        <w:t>591</w:t>
      </w:r>
      <w:r>
        <w:rPr>
          <w:rFonts w:ascii="Times New Roman" w:hAnsi="Times New Roman" w:eastAsia="仿宋_GB2312"/>
          <w:color w:val="000000" w:themeColor="text1"/>
          <w:kern w:val="0"/>
          <w:sz w:val="32"/>
          <w:szCs w:val="32"/>
          <w:lang w:val="zh-TW"/>
          <w14:textFill>
            <w14:solidFill>
              <w14:schemeClr w14:val="tx1"/>
            </w14:solidFill>
          </w14:textFill>
        </w:rPr>
        <w:t>人，</w:t>
      </w:r>
      <w:r>
        <w:rPr>
          <w:rFonts w:hint="eastAsia" w:ascii="仿宋_GB2312" w:hAnsi="Times New Roman" w:eastAsia="仿宋_GB2312"/>
          <w:color w:val="000000" w:themeColor="text1"/>
          <w:kern w:val="0"/>
          <w:sz w:val="32"/>
          <w:szCs w:val="32"/>
          <w:lang w:val="zh-TW"/>
          <w14:textFill>
            <w14:solidFill>
              <w14:schemeClr w14:val="tx1"/>
            </w14:solidFill>
          </w14:textFill>
        </w:rPr>
        <w:t>“良好”</w:t>
      </w:r>
      <w:r>
        <w:rPr>
          <w:rFonts w:ascii="Times New Roman" w:hAnsi="Times New Roman" w:eastAsia="仿宋_GB2312"/>
          <w:color w:val="000000" w:themeColor="text1"/>
          <w:kern w:val="0"/>
          <w:sz w:val="32"/>
          <w:szCs w:val="32"/>
          <w:lang w:val="zh-TW"/>
          <w14:textFill>
            <w14:solidFill>
              <w14:schemeClr w14:val="tx1"/>
            </w14:solidFill>
          </w14:textFill>
        </w:rPr>
        <w:t>的</w:t>
      </w:r>
      <w:r>
        <w:rPr>
          <w:rFonts w:ascii="Times New Roman" w:hAnsi="Times New Roman" w:eastAsia="仿宋_GB2312"/>
          <w:color w:val="000000" w:themeColor="text1"/>
          <w:kern w:val="0"/>
          <w:sz w:val="32"/>
          <w:szCs w:val="32"/>
          <w14:textFill>
            <w14:solidFill>
              <w14:schemeClr w14:val="tx1"/>
            </w14:solidFill>
          </w14:textFill>
        </w:rPr>
        <w:t>有</w:t>
      </w:r>
      <w:r>
        <w:rPr>
          <w:rFonts w:hint="eastAsia" w:ascii="Times New Roman" w:hAnsi="Times New Roman" w:eastAsia="仿宋_GB2312"/>
          <w:color w:val="000000" w:themeColor="text1"/>
          <w:kern w:val="0"/>
          <w:sz w:val="32"/>
          <w:szCs w:val="32"/>
          <w:lang w:val="zh-TW"/>
          <w14:textFill>
            <w14:solidFill>
              <w14:schemeClr w14:val="tx1"/>
            </w14:solidFill>
          </w14:textFill>
        </w:rPr>
        <w:t>616</w:t>
      </w:r>
      <w:r>
        <w:rPr>
          <w:rFonts w:ascii="Times New Roman" w:hAnsi="Times New Roman" w:eastAsia="仿宋_GB2312"/>
          <w:color w:val="000000" w:themeColor="text1"/>
          <w:kern w:val="0"/>
          <w:sz w:val="32"/>
          <w:szCs w:val="32"/>
          <w:lang w:val="zh-TW"/>
          <w14:textFill>
            <w14:solidFill>
              <w14:schemeClr w14:val="tx1"/>
            </w14:solidFill>
          </w14:textFill>
        </w:rPr>
        <w:t>人</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“诚信”与“暂定诚信”</w:t>
      </w:r>
      <w:r>
        <w:rPr>
          <w:rFonts w:ascii="Times New Roman" w:hAnsi="Times New Roman" w:eastAsia="仿宋_GB2312"/>
          <w:color w:val="000000" w:themeColor="text1"/>
          <w:kern w:val="0"/>
          <w:sz w:val="32"/>
          <w:szCs w:val="32"/>
          <w:lang w:val="zh-TW"/>
          <w14:textFill>
            <w14:solidFill>
              <w14:schemeClr w14:val="tx1"/>
            </w14:solidFill>
          </w14:textFill>
        </w:rPr>
        <w:t>的分别有2</w:t>
      </w:r>
      <w:r>
        <w:rPr>
          <w:rFonts w:hint="eastAsia" w:ascii="Times New Roman" w:hAnsi="Times New Roman" w:eastAsia="仿宋_GB2312"/>
          <w:color w:val="000000" w:themeColor="text1"/>
          <w:kern w:val="0"/>
          <w:sz w:val="32"/>
          <w:szCs w:val="32"/>
          <w:lang w:val="zh-TW"/>
          <w14:textFill>
            <w14:solidFill>
              <w14:schemeClr w14:val="tx1"/>
            </w14:solidFill>
          </w14:textFill>
        </w:rPr>
        <w:t>236</w:t>
      </w:r>
      <w:r>
        <w:rPr>
          <w:rFonts w:ascii="Times New Roman" w:hAnsi="Times New Roman" w:eastAsia="仿宋_GB2312"/>
          <w:color w:val="000000" w:themeColor="text1"/>
          <w:kern w:val="0"/>
          <w:sz w:val="32"/>
          <w:szCs w:val="32"/>
          <w:lang w:val="zh-TW"/>
          <w14:textFill>
            <w14:solidFill>
              <w14:schemeClr w14:val="tx1"/>
            </w14:solidFill>
          </w14:textFill>
        </w:rPr>
        <w:t>人和</w:t>
      </w:r>
      <w:r>
        <w:rPr>
          <w:rFonts w:hint="eastAsia" w:ascii="Times New Roman" w:hAnsi="Times New Roman" w:eastAsia="仿宋_GB2312"/>
          <w:color w:val="000000" w:themeColor="text1"/>
          <w:kern w:val="0"/>
          <w:sz w:val="32"/>
          <w:szCs w:val="32"/>
          <w:lang w:val="zh-TW"/>
          <w14:textFill>
            <w14:solidFill>
              <w14:schemeClr w14:val="tx1"/>
            </w14:solidFill>
          </w14:textFill>
        </w:rPr>
        <w:t>1000</w:t>
      </w:r>
      <w:r>
        <w:rPr>
          <w:rFonts w:ascii="Times New Roman" w:hAnsi="Times New Roman" w:eastAsia="仿宋_GB2312"/>
          <w:color w:val="000000" w:themeColor="text1"/>
          <w:kern w:val="0"/>
          <w:sz w:val="32"/>
          <w:szCs w:val="32"/>
          <w:lang w:val="zh-TW"/>
          <w14:textFill>
            <w14:solidFill>
              <w14:schemeClr w14:val="tx1"/>
            </w14:solidFill>
          </w14:textFill>
        </w:rPr>
        <w:t>人。</w:t>
      </w:r>
    </w:p>
    <w:p w14:paraId="34BA0B3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其余29</w:t>
      </w:r>
      <w:r>
        <w:rPr>
          <w:rFonts w:hint="eastAsia" w:ascii="Times New Roman" w:hAnsi="Times New Roman" w:eastAsia="仿宋_GB2312"/>
          <w:color w:val="000000" w:themeColor="text1"/>
          <w:kern w:val="0"/>
          <w:sz w:val="32"/>
          <w:szCs w:val="32"/>
          <w:lang w:val="zh-TW"/>
          <w14:textFill>
            <w14:solidFill>
              <w14:schemeClr w14:val="tx1"/>
            </w14:solidFill>
          </w14:textFill>
        </w:rPr>
        <w:t>271</w:t>
      </w:r>
      <w:r>
        <w:rPr>
          <w:rFonts w:ascii="Times New Roman" w:hAnsi="Times New Roman" w:eastAsia="仿宋_GB2312"/>
          <w:color w:val="000000" w:themeColor="text1"/>
          <w:kern w:val="0"/>
          <w:sz w:val="32"/>
          <w:szCs w:val="32"/>
          <w:lang w:val="zh-TW"/>
          <w14:textFill>
            <w14:solidFill>
              <w14:schemeClr w14:val="tx1"/>
            </w14:solidFill>
          </w14:textFill>
        </w:rPr>
        <w:t>名非会员中，信用等级为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w:t>
      </w:r>
      <w:r>
        <w:rPr>
          <w:rFonts w:ascii="Times New Roman" w:hAnsi="Times New Roman" w:eastAsia="仿宋_GB2312"/>
          <w:color w:val="000000" w:themeColor="text1"/>
          <w:kern w:val="0"/>
          <w:sz w:val="32"/>
          <w:szCs w:val="32"/>
          <w:lang w:val="zh-TW"/>
          <w14:textFill>
            <w14:solidFill>
              <w14:schemeClr w14:val="tx1"/>
            </w14:solidFill>
          </w14:textFill>
        </w:rPr>
        <w:t>的共1</w:t>
      </w:r>
      <w:r>
        <w:rPr>
          <w:rFonts w:hint="eastAsia" w:ascii="Times New Roman" w:hAnsi="Times New Roman" w:eastAsia="仿宋_GB2312"/>
          <w:color w:val="000000" w:themeColor="text1"/>
          <w:kern w:val="0"/>
          <w:sz w:val="32"/>
          <w:szCs w:val="32"/>
          <w:lang w:val="zh-TW"/>
          <w14:textFill>
            <w14:solidFill>
              <w14:schemeClr w14:val="tx1"/>
            </w14:solidFill>
          </w14:textFill>
        </w:rPr>
        <w:t>77</w:t>
      </w:r>
      <w:r>
        <w:rPr>
          <w:rFonts w:ascii="Times New Roman" w:hAnsi="Times New Roman" w:eastAsia="仿宋_GB2312"/>
          <w:color w:val="000000" w:themeColor="text1"/>
          <w:kern w:val="0"/>
          <w:sz w:val="32"/>
          <w:szCs w:val="32"/>
          <w:lang w:val="zh-TW"/>
          <w14:textFill>
            <w14:solidFill>
              <w14:schemeClr w14:val="tx1"/>
            </w14:solidFill>
          </w14:textFill>
        </w:rPr>
        <w:t>4人，</w:t>
      </w:r>
      <w:r>
        <w:rPr>
          <w:rFonts w:hint="eastAsia" w:ascii="仿宋_GB2312" w:hAnsi="Times New Roman" w:eastAsia="仿宋_GB2312"/>
          <w:color w:val="000000" w:themeColor="text1"/>
          <w:kern w:val="0"/>
          <w:sz w:val="32"/>
          <w:szCs w:val="32"/>
          <w:lang w:val="zh-TW"/>
          <w14:textFill>
            <w14:solidFill>
              <w14:schemeClr w14:val="tx1"/>
            </w14:solidFill>
          </w14:textFill>
        </w:rPr>
        <w:t>“良好”</w:t>
      </w:r>
      <w:r>
        <w:rPr>
          <w:rFonts w:ascii="Times New Roman" w:hAnsi="Times New Roman" w:eastAsia="仿宋_GB2312"/>
          <w:color w:val="000000" w:themeColor="text1"/>
          <w:kern w:val="0"/>
          <w:sz w:val="32"/>
          <w:szCs w:val="32"/>
          <w:lang w:val="zh-TW"/>
          <w14:textFill>
            <w14:solidFill>
              <w14:schemeClr w14:val="tx1"/>
            </w14:solidFill>
          </w14:textFill>
        </w:rPr>
        <w:t>的</w:t>
      </w:r>
      <w:r>
        <w:rPr>
          <w:rFonts w:hint="eastAsia" w:ascii="Times New Roman" w:hAnsi="Times New Roman" w:eastAsia="仿宋_GB2312"/>
          <w:color w:val="000000" w:themeColor="text1"/>
          <w:kern w:val="0"/>
          <w:sz w:val="32"/>
          <w:szCs w:val="32"/>
          <w14:textFill>
            <w14:solidFill>
              <w14:schemeClr w14:val="tx1"/>
            </w14:solidFill>
          </w14:textFill>
        </w:rPr>
        <w:t>有</w:t>
      </w:r>
      <w:r>
        <w:rPr>
          <w:rFonts w:hint="eastAsia" w:ascii="Times New Roman" w:hAnsi="Times New Roman" w:eastAsia="仿宋_GB2312"/>
          <w:color w:val="000000" w:themeColor="text1"/>
          <w:kern w:val="0"/>
          <w:sz w:val="32"/>
          <w:szCs w:val="32"/>
          <w:lang w:val="zh-TW"/>
          <w14:textFill>
            <w14:solidFill>
              <w14:schemeClr w14:val="tx1"/>
            </w14:solidFill>
          </w14:textFill>
        </w:rPr>
        <w:t>1939</w:t>
      </w:r>
      <w:r>
        <w:rPr>
          <w:rFonts w:ascii="Times New Roman" w:hAnsi="Times New Roman" w:eastAsia="仿宋_GB2312"/>
          <w:color w:val="000000" w:themeColor="text1"/>
          <w:kern w:val="0"/>
          <w:sz w:val="32"/>
          <w:szCs w:val="32"/>
          <w:lang w:val="zh-TW"/>
          <w14:textFill>
            <w14:solidFill>
              <w14:schemeClr w14:val="tx1"/>
            </w14:solidFill>
          </w14:textFill>
        </w:rPr>
        <w:t>人，信用等级为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“诚信”与“暂定诚信”</w:t>
      </w:r>
      <w:r>
        <w:rPr>
          <w:rFonts w:ascii="Times New Roman" w:hAnsi="Times New Roman" w:eastAsia="仿宋_GB2312"/>
          <w:color w:val="000000" w:themeColor="text1"/>
          <w:kern w:val="0"/>
          <w:sz w:val="32"/>
          <w:szCs w:val="32"/>
          <w:lang w:val="zh-TW"/>
          <w14:textFill>
            <w14:solidFill>
              <w14:schemeClr w14:val="tx1"/>
            </w14:solidFill>
          </w14:textFill>
        </w:rPr>
        <w:t>的分别有1</w:t>
      </w:r>
      <w:r>
        <w:rPr>
          <w:rFonts w:hint="eastAsia" w:ascii="Times New Roman" w:hAnsi="Times New Roman" w:eastAsia="仿宋_GB2312"/>
          <w:color w:val="000000" w:themeColor="text1"/>
          <w:kern w:val="0"/>
          <w:sz w:val="32"/>
          <w:szCs w:val="32"/>
          <w:lang w:val="zh-TW"/>
          <w14:textFill>
            <w14:solidFill>
              <w14:schemeClr w14:val="tx1"/>
            </w14:solidFill>
          </w14:textFill>
        </w:rPr>
        <w:t>9826</w:t>
      </w:r>
      <w:r>
        <w:rPr>
          <w:rFonts w:ascii="Times New Roman" w:hAnsi="Times New Roman" w:eastAsia="仿宋_GB2312"/>
          <w:color w:val="000000" w:themeColor="text1"/>
          <w:kern w:val="0"/>
          <w:sz w:val="32"/>
          <w:szCs w:val="32"/>
          <w:lang w:val="zh-TW"/>
          <w14:textFill>
            <w14:solidFill>
              <w14:schemeClr w14:val="tx1"/>
            </w14:solidFill>
          </w14:textFill>
        </w:rPr>
        <w:t>人和5</w:t>
      </w:r>
      <w:r>
        <w:rPr>
          <w:rFonts w:hint="eastAsia" w:ascii="Times New Roman" w:hAnsi="Times New Roman" w:eastAsia="仿宋_GB2312"/>
          <w:color w:val="000000" w:themeColor="text1"/>
          <w:kern w:val="0"/>
          <w:sz w:val="32"/>
          <w:szCs w:val="32"/>
          <w:lang w:val="zh-TW"/>
          <w14:textFill>
            <w14:solidFill>
              <w14:schemeClr w14:val="tx1"/>
            </w14:solidFill>
          </w14:textFill>
        </w:rPr>
        <w:t>732</w:t>
      </w:r>
      <w:r>
        <w:rPr>
          <w:rFonts w:ascii="Times New Roman" w:hAnsi="Times New Roman" w:eastAsia="仿宋_GB2312"/>
          <w:color w:val="000000" w:themeColor="text1"/>
          <w:kern w:val="0"/>
          <w:sz w:val="32"/>
          <w:szCs w:val="32"/>
          <w:lang w:val="zh-TW"/>
          <w14:textFill>
            <w14:solidFill>
              <w14:schemeClr w14:val="tx1"/>
            </w14:solidFill>
          </w14:textFill>
        </w:rPr>
        <w:t>人（见图1</w:t>
      </w:r>
      <w:r>
        <w:rPr>
          <w:rFonts w:hint="eastAsia" w:ascii="Times New Roman" w:hAnsi="Times New Roman" w:eastAsia="仿宋_GB2312"/>
          <w:color w:val="000000" w:themeColor="text1"/>
          <w:kern w:val="0"/>
          <w:sz w:val="32"/>
          <w:szCs w:val="32"/>
          <w14:textFill>
            <w14:solidFill>
              <w14:schemeClr w14:val="tx1"/>
            </w14:solidFill>
          </w14:textFill>
        </w:rPr>
        <w:t>4</w:t>
      </w:r>
      <w:r>
        <w:rPr>
          <w:rFonts w:ascii="Times New Roman" w:hAnsi="Times New Roman" w:eastAsia="仿宋_GB2312"/>
          <w:color w:val="000000" w:themeColor="text1"/>
          <w:kern w:val="0"/>
          <w:sz w:val="32"/>
          <w:szCs w:val="32"/>
          <w:lang w:val="zh-TW"/>
          <w14:textFill>
            <w14:solidFill>
              <w14:schemeClr w14:val="tx1"/>
            </w14:solidFill>
          </w14:textFill>
        </w:rPr>
        <w:t>）。</w:t>
      </w:r>
    </w:p>
    <w:p w14:paraId="6D70ACF5">
      <w:pPr>
        <w:jc w:val="center"/>
        <w:rPr>
          <w:rFonts w:ascii="Times New Roman" w:hAnsi="Times New Roman" w:eastAsia="等线"/>
          <w:color w:val="FF0000"/>
          <w:sz w:val="24"/>
        </w:rPr>
      </w:pPr>
      <w:r>
        <w:rPr>
          <w:rFonts w:ascii="Times New Roman" w:hAnsi="Times New Roman" w:eastAsia="等线"/>
          <w:color w:val="FF0000"/>
          <w:sz w:val="24"/>
        </w:rPr>
        <w:drawing>
          <wp:inline distT="0" distB="0" distL="0" distR="0">
            <wp:extent cx="2694940" cy="2212975"/>
            <wp:effectExtent l="0" t="0" r="0" b="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694940" cy="2212975"/>
                    </a:xfrm>
                    <a:prstGeom prst="rect">
                      <a:avLst/>
                    </a:prstGeom>
                    <a:noFill/>
                  </pic:spPr>
                </pic:pic>
              </a:graphicData>
            </a:graphic>
          </wp:inline>
        </w:drawing>
      </w:r>
      <w:r>
        <w:rPr>
          <w:rFonts w:ascii="Times New Roman" w:hAnsi="Times New Roman" w:eastAsia="等线"/>
          <w:color w:val="FF0000"/>
          <w:sz w:val="24"/>
        </w:rPr>
        <w:drawing>
          <wp:inline distT="0" distB="0" distL="0" distR="0">
            <wp:extent cx="2694940" cy="221297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694940" cy="2212975"/>
                    </a:xfrm>
                    <a:prstGeom prst="rect">
                      <a:avLst/>
                    </a:prstGeom>
                    <a:noFill/>
                  </pic:spPr>
                </pic:pic>
              </a:graphicData>
            </a:graphic>
          </wp:inline>
        </w:drawing>
      </w:r>
    </w:p>
    <w:p w14:paraId="77E1CBC4">
      <w:pPr>
        <w:spacing w:line="360" w:lineRule="auto"/>
        <w:jc w:val="center"/>
        <w:rPr>
          <w:rFonts w:ascii="Times New Roman" w:hAnsi="Times New Roman"/>
          <w:color w:val="FF0000"/>
          <w:szCs w:val="21"/>
        </w:rPr>
      </w:pPr>
      <w:r>
        <w:rPr>
          <w:rFonts w:ascii="Times New Roman" w:hAnsi="Times New Roman"/>
        </w:rPr>
        <w:drawing>
          <wp:inline distT="0" distB="0" distL="0" distR="0">
            <wp:extent cx="2189480" cy="241935"/>
            <wp:effectExtent l="0" t="0" r="1270" b="571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48"/>
                    <a:stretch>
                      <a:fillRect/>
                    </a:stretch>
                  </pic:blipFill>
                  <pic:spPr>
                    <a:xfrm>
                      <a:off x="0" y="0"/>
                      <a:ext cx="2208533" cy="244542"/>
                    </a:xfrm>
                    <a:prstGeom prst="rect">
                      <a:avLst/>
                    </a:prstGeom>
                  </pic:spPr>
                </pic:pic>
              </a:graphicData>
            </a:graphic>
          </wp:inline>
        </w:drawing>
      </w:r>
    </w:p>
    <w:p w14:paraId="6D0CB835">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图1</w:t>
      </w:r>
      <w:r>
        <w:rPr>
          <w:rFonts w:hint="eastAsia" w:ascii="Times New Roman" w:hAnsi="Times New Roman"/>
          <w:color w:val="000000" w:themeColor="text1"/>
          <w:sz w:val="24"/>
          <w14:textFill>
            <w14:solidFill>
              <w14:schemeClr w14:val="tx1"/>
            </w14:solidFill>
          </w14:textFill>
        </w:rPr>
        <w:t>4</w:t>
      </w:r>
      <w:r>
        <w:rPr>
          <w:rFonts w:ascii="Times New Roman" w:hAnsi="Times New Roman"/>
          <w:color w:val="000000" w:themeColor="text1"/>
          <w:sz w:val="24"/>
          <w14:textFill>
            <w14:solidFill>
              <w14:schemeClr w14:val="tx1"/>
            </w14:solidFill>
          </w14:textFill>
        </w:rPr>
        <w:t xml:space="preserve">  市中介协会个人会员（左）与非个人会员（右）信用等级结构</w:t>
      </w:r>
    </w:p>
    <w:p w14:paraId="2F9BDAF4">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4CCD0B90">
      <w:pPr>
        <w:spacing w:line="360" w:lineRule="auto"/>
        <w:jc w:val="right"/>
        <w:rPr>
          <w:rFonts w:ascii="Times New Roman" w:hAnsi="Times New Roman"/>
          <w:color w:val="000000" w:themeColor="text1"/>
          <w:szCs w:val="21"/>
          <w14:textFill>
            <w14:solidFill>
              <w14:schemeClr w14:val="tx1"/>
            </w14:solidFill>
          </w14:textFill>
        </w:rPr>
      </w:pPr>
    </w:p>
    <w:p w14:paraId="6F7EE1EB">
      <w:pPr>
        <w:pStyle w:val="2"/>
        <w:pageBreakBefore/>
        <w:spacing w:before="120" w:beforeLines="50" w:after="120" w:afterLines="50" w:line="360" w:lineRule="auto"/>
        <w:ind w:firstLine="643" w:firstLineChars="200"/>
        <w:rPr>
          <w:rFonts w:ascii="Times New Roman" w:hAnsi="Times New Roman" w:eastAsia="黑体"/>
          <w:bCs w:val="0"/>
          <w:color w:val="000000" w:themeColor="text1"/>
          <w:sz w:val="32"/>
          <w:szCs w:val="24"/>
          <w14:textFill>
            <w14:solidFill>
              <w14:schemeClr w14:val="tx1"/>
            </w14:solidFill>
          </w14:textFill>
        </w:rPr>
      </w:pPr>
      <w:bookmarkStart w:id="68" w:name="_Toc192845449"/>
      <w:bookmarkStart w:id="69" w:name="_Toc98168321"/>
      <w:r>
        <w:rPr>
          <w:rFonts w:ascii="Times New Roman" w:hAnsi="Times New Roman" w:eastAsia="黑体"/>
          <w:bCs w:val="0"/>
          <w:color w:val="000000" w:themeColor="text1"/>
          <w:sz w:val="32"/>
          <w:szCs w:val="24"/>
          <w14:textFill>
            <w14:solidFill>
              <w14:schemeClr w14:val="tx1"/>
            </w14:solidFill>
          </w14:textFill>
        </w:rPr>
        <w:t>七、信用</w:t>
      </w:r>
      <w:r>
        <w:rPr>
          <w:rFonts w:hint="eastAsia" w:ascii="Times New Roman" w:hAnsi="Times New Roman" w:eastAsia="黑体"/>
          <w:bCs w:val="0"/>
          <w:color w:val="000000" w:themeColor="text1"/>
          <w:sz w:val="32"/>
          <w:szCs w:val="24"/>
          <w14:textFill>
            <w14:solidFill>
              <w14:schemeClr w14:val="tx1"/>
            </w14:solidFill>
          </w14:textFill>
        </w:rPr>
        <w:t>等</w:t>
      </w:r>
      <w:r>
        <w:rPr>
          <w:rFonts w:ascii="Times New Roman" w:hAnsi="Times New Roman" w:eastAsia="黑体"/>
          <w:bCs w:val="0"/>
          <w:color w:val="000000" w:themeColor="text1"/>
          <w:sz w:val="32"/>
          <w:szCs w:val="24"/>
          <w14:textFill>
            <w14:solidFill>
              <w14:schemeClr w14:val="tx1"/>
            </w14:solidFill>
          </w14:textFill>
        </w:rPr>
        <w:t>级相关性分析</w:t>
      </w:r>
      <w:bookmarkEnd w:id="68"/>
      <w:bookmarkEnd w:id="69"/>
    </w:p>
    <w:p w14:paraId="39A306DA">
      <w:pPr>
        <w:pStyle w:val="3"/>
        <w:spacing w:before="240" w:after="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70" w:name="_Toc192845450"/>
      <w:bookmarkStart w:id="71" w:name="_Toc98168323"/>
      <w:r>
        <w:rPr>
          <w:rFonts w:ascii="Times New Roman" w:hAnsi="Times New Roman" w:eastAsia="黑体" w:cs="Times New Roman"/>
          <w:bCs w:val="0"/>
          <w:color w:val="000000" w:themeColor="text1"/>
          <w:sz w:val="28"/>
          <w:szCs w:val="28"/>
          <w14:textFill>
            <w14:solidFill>
              <w14:schemeClr w14:val="tx1"/>
            </w14:solidFill>
          </w14:textFill>
        </w:rPr>
        <w:t>（一）信用等级与从业人员性别</w:t>
      </w:r>
      <w:bookmarkEnd w:id="70"/>
      <w:bookmarkEnd w:id="71"/>
    </w:p>
    <w:p w14:paraId="453D0808">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全市已建立信用档案且记录在职的33714</w:t>
      </w:r>
      <w:r>
        <w:rPr>
          <w:rFonts w:ascii="Times New Roman" w:hAnsi="Times New Roman" w:eastAsia="仿宋_GB2312"/>
          <w:color w:val="000000" w:themeColor="text1"/>
          <w:kern w:val="0"/>
          <w:sz w:val="32"/>
          <w:szCs w:val="32"/>
          <w:lang w:val="zh-TW" w:eastAsia="zh-TW"/>
          <w14:textFill>
            <w14:solidFill>
              <w14:schemeClr w14:val="tx1"/>
            </w14:solidFill>
          </w14:textFill>
        </w:rPr>
        <w:t>名</w:t>
      </w:r>
      <w:r>
        <w:rPr>
          <w:rFonts w:ascii="Times New Roman" w:hAnsi="Times New Roman" w:eastAsia="仿宋_GB2312"/>
          <w:color w:val="000000" w:themeColor="text1"/>
          <w:kern w:val="0"/>
          <w:sz w:val="32"/>
          <w:szCs w:val="32"/>
          <w:lang w:val="zh-TW"/>
          <w14:textFill>
            <w14:solidFill>
              <w14:schemeClr w14:val="tx1"/>
            </w14:solidFill>
          </w14:textFill>
        </w:rPr>
        <w:t>从业人员中，男性与女性</w:t>
      </w:r>
      <w:r>
        <w:rPr>
          <w:rFonts w:ascii="Times New Roman" w:hAnsi="Times New Roman" w:eastAsia="仿宋_GB2312"/>
          <w:color w:val="000000" w:themeColor="text1"/>
          <w:kern w:val="0"/>
          <w:sz w:val="32"/>
          <w:szCs w:val="32"/>
          <w14:textFill>
            <w14:solidFill>
              <w14:schemeClr w14:val="tx1"/>
            </w14:solidFill>
          </w14:textFill>
        </w:rPr>
        <w:t>分别</w:t>
      </w:r>
      <w:r>
        <w:rPr>
          <w:rFonts w:hint="eastAsia" w:ascii="Times New Roman" w:hAnsi="Times New Roman" w:eastAsia="仿宋_GB2312"/>
          <w:color w:val="000000" w:themeColor="text1"/>
          <w:kern w:val="0"/>
          <w:sz w:val="32"/>
          <w:szCs w:val="32"/>
          <w14:textFill>
            <w14:solidFill>
              <w14:schemeClr w14:val="tx1"/>
            </w14:solidFill>
          </w14:textFill>
        </w:rPr>
        <w:t>为</w:t>
      </w:r>
      <w:r>
        <w:rPr>
          <w:rFonts w:ascii="Times New Roman" w:hAnsi="Times New Roman" w:eastAsia="仿宋_GB2312"/>
          <w:color w:val="000000" w:themeColor="text1"/>
          <w:kern w:val="0"/>
          <w:sz w:val="32"/>
          <w:szCs w:val="32"/>
          <w:lang w:val="zh-TW"/>
          <w14:textFill>
            <w14:solidFill>
              <w14:schemeClr w14:val="tx1"/>
            </w14:solidFill>
          </w14:textFill>
        </w:rPr>
        <w:t>20386人和13328人，所占比例分别为60.5%与39.5%，女性从业人员占比同比小幅上升1个百分点。信用等级为</w:t>
      </w:r>
      <w:bookmarkStart w:id="72" w:name="OLE_LINK20"/>
      <w:r>
        <w:rPr>
          <w:rFonts w:hint="eastAsia" w:ascii="仿宋_GB2312" w:hAnsi="Times New Roman" w:eastAsia="仿宋_GB2312"/>
          <w:color w:val="000000" w:themeColor="text1"/>
          <w:kern w:val="0"/>
          <w:sz w:val="32"/>
          <w:szCs w:val="32"/>
          <w:lang w:val="zh-TW"/>
          <w14:textFill>
            <w14:solidFill>
              <w14:schemeClr w14:val="tx1"/>
            </w14:solidFill>
          </w14:textFill>
        </w:rPr>
        <w:t>“</w:t>
      </w:r>
      <w:bookmarkEnd w:id="72"/>
      <w:r>
        <w:rPr>
          <w:rFonts w:hint="eastAsia" w:ascii="仿宋_GB2312" w:hAnsi="Times New Roman" w:eastAsia="仿宋_GB2312"/>
          <w:color w:val="000000" w:themeColor="text1"/>
          <w:kern w:val="0"/>
          <w:sz w:val="32"/>
          <w:szCs w:val="32"/>
          <w:lang w:val="zh-TW"/>
          <w14:textFill>
            <w14:solidFill>
              <w14:schemeClr w14:val="tx1"/>
            </w14:solidFill>
          </w14:textFill>
        </w:rPr>
        <w:t>优质</w:t>
      </w:r>
      <w:bookmarkStart w:id="73" w:name="_Hlk191904082"/>
      <w:bookmarkStart w:id="74" w:name="OLE_LINK45"/>
      <w:r>
        <w:rPr>
          <w:rFonts w:hint="eastAsia" w:ascii="仿宋_GB2312" w:hAnsi="Times New Roman" w:eastAsia="仿宋_GB2312"/>
          <w:color w:val="000000" w:themeColor="text1"/>
          <w:kern w:val="0"/>
          <w:sz w:val="32"/>
          <w:szCs w:val="32"/>
          <w:lang w:val="zh-TW"/>
          <w14:textFill>
            <w14:solidFill>
              <w14:schemeClr w14:val="tx1"/>
            </w14:solidFill>
          </w14:textFill>
        </w:rPr>
        <w:t>”</w:t>
      </w:r>
      <w:bookmarkEnd w:id="73"/>
      <w:bookmarkEnd w:id="74"/>
      <w:r>
        <w:rPr>
          <w:rFonts w:hint="eastAsia" w:ascii="仿宋_GB2312" w:hAnsi="Times New Roman" w:eastAsia="仿宋_GB2312"/>
          <w:color w:val="000000" w:themeColor="text1"/>
          <w:kern w:val="0"/>
          <w:sz w:val="32"/>
          <w:szCs w:val="32"/>
          <w:lang w:val="zh-TW"/>
          <w14:textFill>
            <w14:solidFill>
              <w14:schemeClr w14:val="tx1"/>
            </w14:solidFill>
          </w14:textFill>
        </w:rPr>
        <w:t>与“良好”</w:t>
      </w:r>
      <w:r>
        <w:rPr>
          <w:rFonts w:ascii="Times New Roman" w:hAnsi="Times New Roman" w:eastAsia="仿宋_GB2312"/>
          <w:color w:val="000000" w:themeColor="text1"/>
          <w:kern w:val="0"/>
          <w:sz w:val="32"/>
          <w:szCs w:val="32"/>
          <w:lang w:val="zh-TW"/>
          <w14:textFill>
            <w14:solidFill>
              <w14:schemeClr w14:val="tx1"/>
            </w14:solidFill>
          </w14:textFill>
        </w:rPr>
        <w:t>的比例中，女性分别略高于男性2.6和1.9个百分点（见图1</w:t>
      </w:r>
      <w:r>
        <w:rPr>
          <w:rFonts w:hint="eastAsia" w:ascii="Times New Roman" w:hAnsi="Times New Roman" w:eastAsia="仿宋_GB2312"/>
          <w:color w:val="000000" w:themeColor="text1"/>
          <w:kern w:val="0"/>
          <w:sz w:val="32"/>
          <w:szCs w:val="32"/>
          <w14:textFill>
            <w14:solidFill>
              <w14:schemeClr w14:val="tx1"/>
            </w14:solidFill>
          </w14:textFill>
        </w:rPr>
        <w:t>5</w:t>
      </w:r>
      <w:r>
        <w:rPr>
          <w:rFonts w:ascii="Times New Roman" w:hAnsi="Times New Roman" w:eastAsia="仿宋_GB2312"/>
          <w:color w:val="000000" w:themeColor="text1"/>
          <w:kern w:val="0"/>
          <w:sz w:val="32"/>
          <w:szCs w:val="32"/>
          <w:lang w:val="zh-TW"/>
          <w14:textFill>
            <w14:solidFill>
              <w14:schemeClr w14:val="tx1"/>
            </w14:solidFill>
          </w14:textFill>
        </w:rPr>
        <w:t>）。在</w:t>
      </w:r>
      <w:r>
        <w:rPr>
          <w:rFonts w:hint="eastAsia" w:ascii="Times New Roman" w:hAnsi="Times New Roman" w:eastAsia="仿宋_GB2312"/>
          <w:color w:val="000000" w:themeColor="text1"/>
          <w:kern w:val="0"/>
          <w:sz w:val="32"/>
          <w:szCs w:val="32"/>
          <w14:textFill>
            <w14:solidFill>
              <w14:schemeClr w14:val="tx1"/>
            </w14:solidFill>
          </w14:textFill>
        </w:rPr>
        <w:t>房地产中介业务开展</w:t>
      </w:r>
      <w:r>
        <w:rPr>
          <w:rFonts w:hint="eastAsia" w:ascii="Times New Roman" w:hAnsi="Times New Roman" w:eastAsia="仿宋_GB2312"/>
          <w:color w:val="000000" w:themeColor="text1"/>
          <w:kern w:val="0"/>
          <w:sz w:val="32"/>
          <w:szCs w:val="32"/>
          <w:lang w:val="zh-TW"/>
          <w14:textFill>
            <w14:solidFill>
              <w14:schemeClr w14:val="tx1"/>
            </w14:solidFill>
          </w14:textFill>
        </w:rPr>
        <w:t>逐渐向线上转移的背景下，行业对女性从业人员的吸引力有所增加，原因是女性从业人员在亲和力、耐心、细节把控等方面的优势突出，更能赢得客户信任。</w:t>
      </w:r>
    </w:p>
    <w:p w14:paraId="759C825C">
      <w:pPr>
        <w:jc w:val="center"/>
        <w:rPr>
          <w:rFonts w:ascii="Times New Roman" w:hAnsi="Times New Roman" w:eastAsia="等线"/>
          <w:color w:val="FF0000"/>
          <w:sz w:val="24"/>
        </w:rPr>
      </w:pPr>
      <w:r>
        <w:rPr>
          <w:rFonts w:ascii="Times New Roman" w:hAnsi="Times New Roman" w:eastAsia="等线"/>
          <w:color w:val="FF0000"/>
          <w:sz w:val="24"/>
        </w:rPr>
        <w:drawing>
          <wp:inline distT="0" distB="0" distL="0" distR="0">
            <wp:extent cx="2628900" cy="2193290"/>
            <wp:effectExtent l="0" t="0" r="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635133" cy="2198637"/>
                    </a:xfrm>
                    <a:prstGeom prst="rect">
                      <a:avLst/>
                    </a:prstGeom>
                    <a:noFill/>
                  </pic:spPr>
                </pic:pic>
              </a:graphicData>
            </a:graphic>
          </wp:inline>
        </w:drawing>
      </w:r>
      <w:r>
        <w:rPr>
          <w:rFonts w:ascii="Times New Roman" w:hAnsi="Times New Roman" w:eastAsia="等线"/>
          <w:color w:val="FF0000"/>
          <w:sz w:val="24"/>
        </w:rPr>
        <w:drawing>
          <wp:inline distT="0" distB="0" distL="0" distR="0">
            <wp:extent cx="2588260" cy="2189480"/>
            <wp:effectExtent l="0" t="0" r="254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595640" cy="2195451"/>
                    </a:xfrm>
                    <a:prstGeom prst="rect">
                      <a:avLst/>
                    </a:prstGeom>
                    <a:noFill/>
                  </pic:spPr>
                </pic:pic>
              </a:graphicData>
            </a:graphic>
          </wp:inline>
        </w:drawing>
      </w:r>
    </w:p>
    <w:p w14:paraId="5EEA9734">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图1</w:t>
      </w:r>
      <w:r>
        <w:rPr>
          <w:rFonts w:hint="eastAsia" w:ascii="Times New Roman" w:hAnsi="Times New Roman"/>
          <w:color w:val="000000" w:themeColor="text1"/>
          <w:sz w:val="24"/>
          <w14:textFill>
            <w14:solidFill>
              <w14:schemeClr w14:val="tx1"/>
            </w14:solidFill>
          </w14:textFill>
        </w:rPr>
        <w:t>5</w:t>
      </w:r>
      <w:r>
        <w:rPr>
          <w:rFonts w:ascii="Times New Roman" w:hAnsi="Times New Roman"/>
          <w:color w:val="000000" w:themeColor="text1"/>
          <w:sz w:val="24"/>
          <w14:textFill>
            <w14:solidFill>
              <w14:schemeClr w14:val="tx1"/>
            </w14:solidFill>
          </w14:textFill>
        </w:rPr>
        <w:t xml:space="preserve">  信用等级与从业人员性别</w:t>
      </w:r>
    </w:p>
    <w:p w14:paraId="3389721A">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65CC34D2">
      <w:pPr>
        <w:pStyle w:val="3"/>
        <w:spacing w:before="240" w:after="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75" w:name="_Toc192845451"/>
      <w:bookmarkStart w:id="76" w:name="_Toc98168324"/>
      <w:r>
        <w:rPr>
          <w:rFonts w:ascii="Times New Roman" w:hAnsi="Times New Roman" w:eastAsia="黑体" w:cs="Times New Roman"/>
          <w:bCs w:val="0"/>
          <w:color w:val="000000" w:themeColor="text1"/>
          <w:sz w:val="28"/>
          <w:szCs w:val="28"/>
          <w14:textFill>
            <w14:solidFill>
              <w14:schemeClr w14:val="tx1"/>
            </w14:solidFill>
          </w14:textFill>
        </w:rPr>
        <w:t>（二）信用等级与从业人员年龄</w:t>
      </w:r>
      <w:bookmarkEnd w:id="75"/>
      <w:bookmarkEnd w:id="76"/>
    </w:p>
    <w:p w14:paraId="36F3545B">
      <w:pPr>
        <w:spacing w:line="560" w:lineRule="exact"/>
        <w:ind w:firstLine="640" w:firstLineChars="200"/>
        <w:rPr>
          <w:rFonts w:ascii="Times New Roman" w:hAnsi="Times New Roman" w:eastAsia="仿宋_GB2312"/>
          <w:color w:val="000000" w:themeColor="text1"/>
          <w:kern w:val="0"/>
          <w:sz w:val="32"/>
          <w:szCs w:val="32"/>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从图1</w:t>
      </w:r>
      <w:r>
        <w:rPr>
          <w:rFonts w:hint="eastAsia" w:ascii="Times New Roman" w:hAnsi="Times New Roman" w:eastAsia="仿宋_GB2312"/>
          <w:color w:val="000000" w:themeColor="text1"/>
          <w:kern w:val="0"/>
          <w:sz w:val="32"/>
          <w:szCs w:val="32"/>
          <w14:textFill>
            <w14:solidFill>
              <w14:schemeClr w14:val="tx1"/>
            </w14:solidFill>
          </w14:textFill>
        </w:rPr>
        <w:t>6</w:t>
      </w:r>
      <w:r>
        <w:rPr>
          <w:rFonts w:ascii="Times New Roman" w:hAnsi="Times New Roman" w:eastAsia="仿宋_GB2312"/>
          <w:color w:val="000000" w:themeColor="text1"/>
          <w:kern w:val="0"/>
          <w:sz w:val="32"/>
          <w:szCs w:val="32"/>
          <w:lang w:val="zh-TW"/>
          <w14:textFill>
            <w14:solidFill>
              <w14:schemeClr w14:val="tx1"/>
            </w14:solidFill>
          </w14:textFill>
        </w:rPr>
        <w:t>可以看出，35岁以下的从业人员中，</w:t>
      </w:r>
      <w:r>
        <w:rPr>
          <w:rFonts w:hint="eastAsia" w:ascii="仿宋_GB2312" w:hAnsi="Times New Roman" w:eastAsia="仿宋_GB2312"/>
          <w:color w:val="000000" w:themeColor="text1"/>
          <w:kern w:val="0"/>
          <w:sz w:val="32"/>
          <w:szCs w:val="32"/>
          <w:lang w:val="zh-TW"/>
          <w14:textFill>
            <w14:solidFill>
              <w14:schemeClr w14:val="tx1"/>
            </w14:solidFill>
          </w14:textFill>
        </w:rPr>
        <w:t>“暂定诚信”或“诚信”</w:t>
      </w:r>
      <w:r>
        <w:rPr>
          <w:rFonts w:ascii="Times New Roman" w:hAnsi="Times New Roman" w:eastAsia="仿宋_GB2312"/>
          <w:color w:val="000000" w:themeColor="text1"/>
          <w:kern w:val="0"/>
          <w:sz w:val="32"/>
          <w:szCs w:val="32"/>
          <w:lang w:val="zh-TW"/>
          <w14:textFill>
            <w14:solidFill>
              <w14:schemeClr w14:val="tx1"/>
            </w14:solidFill>
          </w14:textFill>
        </w:rPr>
        <w:t>等级占绝大部分，而35岁以上的从业人员，</w:t>
      </w:r>
      <w:r>
        <w:rPr>
          <w:rFonts w:hint="eastAsia" w:ascii="仿宋_GB2312" w:hAnsi="Times New Roman" w:eastAsia="仿宋_GB2312"/>
          <w:color w:val="000000" w:themeColor="text1"/>
          <w:kern w:val="0"/>
          <w:sz w:val="32"/>
          <w:szCs w:val="32"/>
          <w:lang w:val="zh-TW"/>
          <w14:textFill>
            <w14:solidFill>
              <w14:schemeClr w14:val="tx1"/>
            </w14:solidFill>
          </w14:textFill>
        </w:rPr>
        <w:t>“良好”或“优质”</w:t>
      </w:r>
      <w:r>
        <w:rPr>
          <w:rFonts w:ascii="Times New Roman" w:hAnsi="Times New Roman" w:eastAsia="仿宋_GB2312"/>
          <w:color w:val="000000" w:themeColor="text1"/>
          <w:kern w:val="0"/>
          <w:sz w:val="32"/>
          <w:szCs w:val="32"/>
          <w:lang w:val="zh-TW"/>
          <w14:textFill>
            <w14:solidFill>
              <w14:schemeClr w14:val="tx1"/>
            </w14:solidFill>
          </w14:textFill>
        </w:rPr>
        <w:t>等级的占比快速上升，</w:t>
      </w:r>
      <w:bookmarkStart w:id="77" w:name="OLE_LINK19"/>
      <w:r>
        <w:rPr>
          <w:rFonts w:ascii="Times New Roman" w:hAnsi="Times New Roman" w:eastAsia="仿宋_GB2312"/>
          <w:color w:val="000000" w:themeColor="text1"/>
          <w:kern w:val="0"/>
          <w:sz w:val="32"/>
          <w:szCs w:val="32"/>
          <w:lang w:val="zh-TW"/>
          <w14:textFill>
            <w14:solidFill>
              <w14:schemeClr w14:val="tx1"/>
            </w14:solidFill>
          </w14:textFill>
        </w:rPr>
        <w:t>尤其是45岁</w:t>
      </w:r>
      <w:r>
        <w:rPr>
          <w:rFonts w:hint="eastAsia" w:ascii="Times New Roman" w:hAnsi="Times New Roman" w:eastAsia="仿宋_GB2312"/>
          <w:color w:val="000000" w:themeColor="text1"/>
          <w:kern w:val="0"/>
          <w:sz w:val="32"/>
          <w:szCs w:val="32"/>
          <w:lang w:val="zh-TW"/>
          <w14:textFill>
            <w14:solidFill>
              <w14:schemeClr w14:val="tx1"/>
            </w14:solidFill>
          </w14:textFill>
        </w:rPr>
        <w:t>（含）至</w:t>
      </w:r>
      <w:r>
        <w:rPr>
          <w:rFonts w:ascii="Times New Roman" w:hAnsi="Times New Roman" w:eastAsia="仿宋_GB2312"/>
          <w:color w:val="000000" w:themeColor="text1"/>
          <w:kern w:val="0"/>
          <w:sz w:val="32"/>
          <w:szCs w:val="32"/>
          <w:lang w:val="zh-TW"/>
          <w14:textFill>
            <w14:solidFill>
              <w14:schemeClr w14:val="tx1"/>
            </w14:solidFill>
          </w14:textFill>
        </w:rPr>
        <w:t>50岁、50岁及以上年龄区间，</w:t>
      </w:r>
      <w:r>
        <w:rPr>
          <w:rFonts w:hint="eastAsia" w:ascii="仿宋_GB2312" w:hAnsi="Times New Roman" w:eastAsia="仿宋_GB2312"/>
          <w:color w:val="000000" w:themeColor="text1"/>
          <w:kern w:val="0"/>
          <w:sz w:val="32"/>
          <w:szCs w:val="32"/>
          <w:lang w:val="zh-TW"/>
          <w14:textFill>
            <w14:solidFill>
              <w14:schemeClr w14:val="tx1"/>
            </w14:solidFill>
          </w14:textFill>
        </w:rPr>
        <w:t>“良好”与“优质”</w:t>
      </w:r>
      <w:r>
        <w:rPr>
          <w:rFonts w:ascii="Times New Roman" w:hAnsi="Times New Roman" w:eastAsia="仿宋_GB2312"/>
          <w:color w:val="000000" w:themeColor="text1"/>
          <w:kern w:val="0"/>
          <w:sz w:val="32"/>
          <w:szCs w:val="32"/>
          <w:lang w:val="zh-TW"/>
          <w14:textFill>
            <w14:solidFill>
              <w14:schemeClr w14:val="tx1"/>
            </w14:solidFill>
          </w14:textFill>
        </w:rPr>
        <w:t>等级的占比分别达到</w:t>
      </w:r>
      <w:r>
        <w:rPr>
          <w:rFonts w:hint="eastAsia" w:ascii="Times New Roman" w:hAnsi="Times New Roman" w:eastAsia="仿宋_GB2312"/>
          <w:color w:val="000000" w:themeColor="text1"/>
          <w:kern w:val="0"/>
          <w:sz w:val="32"/>
          <w:szCs w:val="32"/>
          <w:lang w:val="zh-TW"/>
          <w14:textFill>
            <w14:solidFill>
              <w14:schemeClr w14:val="tx1"/>
            </w14:solidFill>
          </w14:textFill>
        </w:rPr>
        <w:t>14</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5</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、22.0</w:t>
      </w:r>
      <w:r>
        <w:rPr>
          <w:rFonts w:ascii="Times New Roman" w:hAnsi="Times New Roman" w:eastAsia="仿宋_GB2312"/>
          <w:color w:val="000000" w:themeColor="text1"/>
          <w:kern w:val="0"/>
          <w:sz w:val="32"/>
          <w:szCs w:val="32"/>
          <w:lang w:val="zh-TW"/>
          <w14:textFill>
            <w14:solidFill>
              <w14:schemeClr w14:val="tx1"/>
            </w14:solidFill>
          </w14:textFill>
        </w:rPr>
        <w:t>%</w:t>
      </w:r>
      <w:r>
        <w:rPr>
          <w:rFonts w:hint="eastAsia" w:ascii="Times New Roman" w:hAnsi="Times New Roman" w:eastAsia="仿宋_GB2312"/>
          <w:color w:val="000000" w:themeColor="text1"/>
          <w:kern w:val="0"/>
          <w:sz w:val="32"/>
          <w:szCs w:val="32"/>
          <w:lang w:val="zh-TW"/>
          <w14:textFill>
            <w14:solidFill>
              <w14:schemeClr w14:val="tx1"/>
            </w14:solidFill>
          </w14:textFill>
        </w:rPr>
        <w:t>、15.7%、</w:t>
      </w:r>
      <w:r>
        <w:rPr>
          <w:rFonts w:hint="eastAsia" w:ascii="Times New Roman" w:hAnsi="Times New Roman" w:eastAsia="仿宋_GB2312"/>
          <w:color w:val="000000" w:themeColor="text1"/>
          <w:kern w:val="0"/>
          <w:sz w:val="32"/>
          <w:szCs w:val="32"/>
          <w14:textFill>
            <w14:solidFill>
              <w14:schemeClr w14:val="tx1"/>
            </w14:solidFill>
          </w14:textFill>
        </w:rPr>
        <w:t>26.6%。</w:t>
      </w:r>
      <w:bookmarkEnd w:id="77"/>
    </w:p>
    <w:p w14:paraId="00C22474">
      <w:pPr>
        <w:pStyle w:val="26"/>
        <w:ind w:firstLine="0"/>
        <w:jc w:val="center"/>
        <w:rPr>
          <w:rFonts w:hint="default"/>
        </w:rPr>
      </w:pPr>
      <w:r>
        <w:rPr>
          <w:rFonts w:hint="default"/>
        </w:rPr>
        <w:drawing>
          <wp:inline distT="0" distB="0" distL="0" distR="0">
            <wp:extent cx="5454015" cy="3093085"/>
            <wp:effectExtent l="0" t="0" r="0" b="0"/>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5457518" cy="3094933"/>
                    </a:xfrm>
                    <a:prstGeom prst="rect">
                      <a:avLst/>
                    </a:prstGeom>
                    <a:noFill/>
                  </pic:spPr>
                </pic:pic>
              </a:graphicData>
            </a:graphic>
          </wp:inline>
        </w:drawing>
      </w:r>
    </w:p>
    <w:p w14:paraId="5255CB3C">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图1</w:t>
      </w:r>
      <w:r>
        <w:rPr>
          <w:rFonts w:hint="eastAsia" w:ascii="Times New Roman" w:hAnsi="Times New Roman"/>
          <w:color w:val="000000" w:themeColor="text1"/>
          <w:sz w:val="24"/>
          <w14:textFill>
            <w14:solidFill>
              <w14:schemeClr w14:val="tx1"/>
            </w14:solidFill>
          </w14:textFill>
        </w:rPr>
        <w:t>6</w:t>
      </w:r>
      <w:r>
        <w:rPr>
          <w:rFonts w:ascii="Times New Roman" w:hAnsi="Times New Roman"/>
          <w:color w:val="000000" w:themeColor="text1"/>
          <w:sz w:val="24"/>
          <w14:textFill>
            <w14:solidFill>
              <w14:schemeClr w14:val="tx1"/>
            </w14:solidFill>
          </w14:textFill>
        </w:rPr>
        <w:t xml:space="preserve">  信用等级与从业人员年龄</w:t>
      </w:r>
    </w:p>
    <w:p w14:paraId="71116290">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2FEDCDDA">
      <w:pPr>
        <w:pStyle w:val="3"/>
        <w:spacing w:before="240" w:after="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78" w:name="_Toc192845452"/>
      <w:r>
        <w:rPr>
          <w:rFonts w:ascii="Times New Roman" w:hAnsi="Times New Roman" w:eastAsia="黑体" w:cs="Times New Roman"/>
          <w:bCs w:val="0"/>
          <w:color w:val="000000" w:themeColor="text1"/>
          <w:sz w:val="28"/>
          <w:szCs w:val="28"/>
          <w14:textFill>
            <w14:solidFill>
              <w14:schemeClr w14:val="tx1"/>
            </w14:solidFill>
          </w14:textFill>
        </w:rPr>
        <w:t>（三）中介机构信用等级与从业人员信用等级</w:t>
      </w:r>
      <w:bookmarkEnd w:id="78"/>
    </w:p>
    <w:p w14:paraId="050042EC">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在信用等级为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“优质”和“良好”</w:t>
      </w:r>
      <w:r>
        <w:rPr>
          <w:rFonts w:ascii="Times New Roman" w:hAnsi="Times New Roman" w:eastAsia="仿宋_GB2312"/>
          <w:color w:val="000000" w:themeColor="text1"/>
          <w:kern w:val="0"/>
          <w:sz w:val="32"/>
          <w:szCs w:val="32"/>
          <w:lang w:val="zh-TW"/>
          <w14:textFill>
            <w14:solidFill>
              <w14:schemeClr w14:val="tx1"/>
            </w14:solidFill>
          </w14:textFill>
        </w:rPr>
        <w:t>的中介机构中，拥有信用等级为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“优质”或“良好”</w:t>
      </w:r>
      <w:r>
        <w:rPr>
          <w:rFonts w:ascii="Times New Roman" w:hAnsi="Times New Roman" w:eastAsia="仿宋_GB2312"/>
          <w:color w:val="000000" w:themeColor="text1"/>
          <w:kern w:val="0"/>
          <w:sz w:val="32"/>
          <w:szCs w:val="32"/>
          <w:lang w:val="zh-TW"/>
          <w14:textFill>
            <w14:solidFill>
              <w14:schemeClr w14:val="tx1"/>
            </w14:solidFill>
          </w14:textFill>
        </w:rPr>
        <w:t>的从业人员数量最多的中介机构为合富置业，共有198</w:t>
      </w:r>
      <w:r>
        <w:rPr>
          <w:rFonts w:hint="eastAsia" w:ascii="Times New Roman" w:hAnsi="Times New Roman" w:eastAsia="仿宋_GB2312"/>
          <w:color w:val="000000" w:themeColor="text1"/>
          <w:kern w:val="0"/>
          <w:sz w:val="32"/>
          <w:szCs w:val="32"/>
          <w:lang w:val="zh-TW"/>
          <w14:textFill>
            <w14:solidFill>
              <w14:schemeClr w14:val="tx1"/>
            </w14:solidFill>
          </w14:textFill>
        </w:rPr>
        <w:t>人</w:t>
      </w:r>
      <w:r>
        <w:rPr>
          <w:rFonts w:ascii="Times New Roman" w:hAnsi="Times New Roman" w:eastAsia="仿宋_GB2312"/>
          <w:color w:val="000000" w:themeColor="text1"/>
          <w:kern w:val="0"/>
          <w:sz w:val="32"/>
          <w:szCs w:val="32"/>
          <w:lang w:val="zh-TW"/>
          <w14:textFill>
            <w14:solidFill>
              <w14:schemeClr w14:val="tx1"/>
            </w14:solidFill>
          </w14:textFill>
        </w:rPr>
        <w:t>，中原地产、链家分别以158人、124人分列二、三位（见表</w:t>
      </w:r>
      <w:r>
        <w:rPr>
          <w:rFonts w:hint="eastAsia" w:ascii="Times New Roman" w:hAnsi="Times New Roman" w:eastAsia="仿宋_GB2312"/>
          <w:color w:val="000000" w:themeColor="text1"/>
          <w:kern w:val="0"/>
          <w:sz w:val="32"/>
          <w:szCs w:val="32"/>
          <w14:textFill>
            <w14:solidFill>
              <w14:schemeClr w14:val="tx1"/>
            </w14:solidFill>
          </w14:textFill>
        </w:rPr>
        <w:t>10</w:t>
      </w:r>
      <w:r>
        <w:rPr>
          <w:rFonts w:ascii="Times New Roman" w:hAnsi="Times New Roman" w:eastAsia="仿宋_GB2312"/>
          <w:color w:val="000000" w:themeColor="text1"/>
          <w:kern w:val="0"/>
          <w:sz w:val="32"/>
          <w:szCs w:val="32"/>
          <w:lang w:val="zh-TW"/>
          <w14:textFill>
            <w14:solidFill>
              <w14:schemeClr w14:val="tx1"/>
            </w14:solidFill>
          </w14:textFill>
        </w:rPr>
        <w:t>）。</w:t>
      </w:r>
    </w:p>
    <w:p w14:paraId="51E3EC8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105C41DD">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表</w:t>
      </w:r>
      <w:r>
        <w:rPr>
          <w:rFonts w:hint="eastAsia" w:ascii="Times New Roman" w:hAnsi="Times New Roman"/>
          <w:color w:val="000000" w:themeColor="text1"/>
          <w:sz w:val="24"/>
          <w14:textFill>
            <w14:solidFill>
              <w14:schemeClr w14:val="tx1"/>
            </w14:solidFill>
          </w14:textFill>
        </w:rPr>
        <w:t>10</w:t>
      </w:r>
      <w:r>
        <w:rPr>
          <w:rFonts w:ascii="Times New Roman" w:hAnsi="Times New Roman"/>
          <w:color w:val="000000" w:themeColor="text1"/>
          <w:sz w:val="24"/>
          <w14:textFill>
            <w14:solidFill>
              <w14:schemeClr w14:val="tx1"/>
            </w14:solidFill>
          </w14:textFill>
        </w:rPr>
        <w:t xml:space="preserve">  2024年度部分</w:t>
      </w:r>
      <w:r>
        <w:rPr>
          <w:rFonts w:hint="eastAsia" w:ascii="仿宋_GB2312" w:hAnsi="Times New Roman" w:eastAsia="仿宋_GB2312"/>
          <w:color w:val="000000" w:themeColor="text1"/>
          <w:sz w:val="24"/>
          <w14:textFill>
            <w14:solidFill>
              <w14:schemeClr w14:val="tx1"/>
            </w14:solidFill>
          </w14:textFill>
        </w:rPr>
        <w:t>“优质</w:t>
      </w:r>
      <w:r>
        <w:rPr>
          <w:rFonts w:hint="eastAsia" w:ascii="仿宋_GB2312" w:hAnsi="Times New Roman" w:eastAsia="仿宋_GB2312"/>
          <w:color w:val="000000" w:themeColor="text1"/>
          <w:kern w:val="0"/>
          <w:sz w:val="24"/>
          <w:szCs w:val="32"/>
          <w:lang w:val="zh-TW"/>
          <w14:textFill>
            <w14:solidFill>
              <w14:schemeClr w14:val="tx1"/>
            </w14:solidFill>
          </w14:textFill>
        </w:rPr>
        <w:t>”</w:t>
      </w:r>
      <w:r>
        <w:rPr>
          <w:rFonts w:hint="eastAsia" w:ascii="仿宋_GB2312" w:hAnsi="Times New Roman" w:eastAsia="仿宋_GB2312"/>
          <w:color w:val="000000" w:themeColor="text1"/>
          <w:sz w:val="24"/>
          <w14:textFill>
            <w14:solidFill>
              <w14:schemeClr w14:val="tx1"/>
            </w14:solidFill>
          </w14:textFill>
        </w:rPr>
        <w:t>和“良好</w:t>
      </w:r>
      <w:r>
        <w:rPr>
          <w:rFonts w:hint="eastAsia" w:ascii="仿宋_GB2312" w:hAnsi="Times New Roman" w:eastAsia="仿宋_GB2312"/>
          <w:color w:val="000000" w:themeColor="text1"/>
          <w:kern w:val="0"/>
          <w:sz w:val="24"/>
          <w:szCs w:val="32"/>
          <w:lang w:val="zh-TW"/>
          <w14:textFill>
            <w14:solidFill>
              <w14:schemeClr w14:val="tx1"/>
            </w14:solidFill>
          </w14:textFill>
        </w:rPr>
        <w:t>”</w:t>
      </w:r>
      <w:r>
        <w:rPr>
          <w:rFonts w:ascii="Times New Roman" w:hAnsi="Times New Roman"/>
          <w:color w:val="000000" w:themeColor="text1"/>
          <w:sz w:val="24"/>
          <w14:textFill>
            <w14:solidFill>
              <w14:schemeClr w14:val="tx1"/>
            </w14:solidFill>
          </w14:textFill>
        </w:rPr>
        <w:t>信用等级的中介机构旗下</w:t>
      </w:r>
    </w:p>
    <w:p w14:paraId="2C701BA2">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信用等级为</w:t>
      </w:r>
      <w:r>
        <w:rPr>
          <w:rFonts w:hint="eastAsia" w:ascii="仿宋_GB2312" w:hAnsi="Times New Roman" w:eastAsia="仿宋_GB2312"/>
          <w:color w:val="000000" w:themeColor="text1"/>
          <w:sz w:val="24"/>
          <w14:textFill>
            <w14:solidFill>
              <w14:schemeClr w14:val="tx1"/>
            </w14:solidFill>
          </w14:textFill>
        </w:rPr>
        <w:t>“优质</w:t>
      </w:r>
      <w:r>
        <w:rPr>
          <w:rFonts w:hint="eastAsia" w:ascii="仿宋_GB2312" w:hAnsi="Times New Roman" w:eastAsia="仿宋_GB2312"/>
          <w:color w:val="000000" w:themeColor="text1"/>
          <w:kern w:val="0"/>
          <w:sz w:val="24"/>
          <w:szCs w:val="32"/>
          <w:lang w:val="zh-TW"/>
          <w14:textFill>
            <w14:solidFill>
              <w14:schemeClr w14:val="tx1"/>
            </w14:solidFill>
          </w14:textFill>
        </w:rPr>
        <w:t>”</w:t>
      </w:r>
      <w:r>
        <w:rPr>
          <w:rFonts w:hint="eastAsia" w:ascii="仿宋_GB2312" w:hAnsi="Times New Roman" w:eastAsia="仿宋_GB2312"/>
          <w:color w:val="000000" w:themeColor="text1"/>
          <w:sz w:val="24"/>
          <w14:textFill>
            <w14:solidFill>
              <w14:schemeClr w14:val="tx1"/>
            </w14:solidFill>
          </w14:textFill>
        </w:rPr>
        <w:t>或“良好</w:t>
      </w:r>
      <w:r>
        <w:rPr>
          <w:rFonts w:hint="eastAsia" w:ascii="仿宋_GB2312" w:hAnsi="Times New Roman" w:eastAsia="仿宋_GB2312"/>
          <w:color w:val="000000" w:themeColor="text1"/>
          <w:kern w:val="0"/>
          <w:sz w:val="24"/>
          <w:szCs w:val="32"/>
          <w:lang w:val="zh-TW"/>
          <w14:textFill>
            <w14:solidFill>
              <w14:schemeClr w14:val="tx1"/>
            </w14:solidFill>
          </w14:textFill>
        </w:rPr>
        <w:t>”</w:t>
      </w:r>
      <w:r>
        <w:rPr>
          <w:rFonts w:ascii="Times New Roman" w:hAnsi="Times New Roman"/>
          <w:color w:val="000000" w:themeColor="text1"/>
          <w:sz w:val="24"/>
          <w14:textFill>
            <w14:solidFill>
              <w14:schemeClr w14:val="tx1"/>
            </w14:solidFill>
          </w14:textFill>
        </w:rPr>
        <w:t>的从业人员数量</w:t>
      </w:r>
    </w:p>
    <w:tbl>
      <w:tblPr>
        <w:tblStyle w:val="20"/>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4111"/>
        <w:gridCol w:w="1134"/>
        <w:gridCol w:w="1134"/>
        <w:gridCol w:w="1112"/>
        <w:gridCol w:w="826"/>
      </w:tblGrid>
      <w:tr w14:paraId="7F8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424A35A7">
            <w:pPr>
              <w:spacing w:line="276" w:lineRule="auto"/>
              <w:jc w:val="center"/>
              <w:rPr>
                <w:rFonts w:ascii="Times New Roman" w:hAnsi="Times New Roman" w:eastAsia="仿宋"/>
                <w:b/>
                <w:color w:val="000000"/>
                <w:sz w:val="24"/>
                <w:szCs w:val="24"/>
              </w:rPr>
            </w:pPr>
            <w:bookmarkStart w:id="79" w:name="OLE_LINK13"/>
            <w:bookmarkStart w:id="80" w:name="OLE_LINK14"/>
            <w:r>
              <w:rPr>
                <w:rFonts w:ascii="Times New Roman" w:hAnsi="Times New Roman" w:eastAsia="仿宋"/>
                <w:b/>
                <w:color w:val="000000"/>
                <w:sz w:val="24"/>
                <w:szCs w:val="24"/>
              </w:rPr>
              <w:t>序号</w:t>
            </w:r>
          </w:p>
        </w:tc>
        <w:tc>
          <w:tcPr>
            <w:tcW w:w="4111" w:type="dxa"/>
            <w:vAlign w:val="center"/>
          </w:tcPr>
          <w:p w14:paraId="0A770F3C">
            <w:pPr>
              <w:spacing w:line="276" w:lineRule="auto"/>
              <w:jc w:val="center"/>
              <w:rPr>
                <w:rFonts w:ascii="Times New Roman" w:hAnsi="Times New Roman" w:eastAsia="仿宋"/>
                <w:b/>
                <w:color w:val="000000"/>
                <w:sz w:val="24"/>
                <w:szCs w:val="24"/>
              </w:rPr>
            </w:pPr>
            <w:r>
              <w:rPr>
                <w:rFonts w:ascii="Times New Roman" w:hAnsi="Times New Roman" w:eastAsia="仿宋"/>
                <w:b/>
                <w:color w:val="000000"/>
                <w:sz w:val="24"/>
                <w:szCs w:val="24"/>
              </w:rPr>
              <w:t>中介机构名称</w:t>
            </w:r>
          </w:p>
        </w:tc>
        <w:tc>
          <w:tcPr>
            <w:tcW w:w="1134" w:type="dxa"/>
            <w:vAlign w:val="center"/>
          </w:tcPr>
          <w:p w14:paraId="7E9C5FBC">
            <w:pPr>
              <w:spacing w:line="276" w:lineRule="auto"/>
              <w:jc w:val="center"/>
              <w:rPr>
                <w:rFonts w:ascii="Times New Roman" w:hAnsi="Times New Roman" w:eastAsia="仿宋"/>
                <w:b/>
                <w:color w:val="000000"/>
                <w:sz w:val="24"/>
                <w:szCs w:val="24"/>
              </w:rPr>
            </w:pPr>
            <w:r>
              <w:rPr>
                <w:rFonts w:ascii="Times New Roman" w:hAnsi="Times New Roman" w:eastAsia="仿宋"/>
                <w:b/>
                <w:color w:val="000000"/>
                <w:sz w:val="24"/>
                <w:szCs w:val="24"/>
              </w:rPr>
              <w:t>2024年度信用等级</w:t>
            </w:r>
          </w:p>
        </w:tc>
        <w:tc>
          <w:tcPr>
            <w:tcW w:w="1134" w:type="dxa"/>
            <w:vAlign w:val="center"/>
          </w:tcPr>
          <w:p w14:paraId="1B2E2491">
            <w:pPr>
              <w:spacing w:line="276" w:lineRule="auto"/>
              <w:jc w:val="center"/>
              <w:rPr>
                <w:rFonts w:ascii="Times New Roman" w:hAnsi="Times New Roman" w:eastAsia="仿宋"/>
                <w:b/>
                <w:color w:val="000000"/>
                <w:sz w:val="24"/>
                <w:szCs w:val="24"/>
              </w:rPr>
            </w:pPr>
            <w:r>
              <w:rPr>
                <w:rFonts w:hint="eastAsia" w:ascii="Times New Roman" w:hAnsi="Times New Roman" w:eastAsia="仿宋"/>
                <w:b/>
                <w:color w:val="000000"/>
                <w:sz w:val="24"/>
                <w:szCs w:val="24"/>
              </w:rPr>
              <w:t>“</w:t>
            </w:r>
            <w:r>
              <w:rPr>
                <w:rFonts w:ascii="Times New Roman" w:hAnsi="Times New Roman" w:eastAsia="仿宋"/>
                <w:b/>
                <w:color w:val="000000"/>
                <w:sz w:val="24"/>
                <w:szCs w:val="24"/>
              </w:rPr>
              <w:t>优质</w:t>
            </w:r>
            <w:r>
              <w:rPr>
                <w:rFonts w:hint="eastAsia" w:ascii="Times New Roman" w:hAnsi="Times New Roman" w:eastAsia="仿宋"/>
                <w:b/>
                <w:color w:val="000000"/>
                <w:sz w:val="24"/>
                <w:szCs w:val="24"/>
              </w:rPr>
              <w:t>”</w:t>
            </w:r>
            <w:r>
              <w:rPr>
                <w:rFonts w:ascii="Times New Roman" w:hAnsi="Times New Roman" w:eastAsia="仿宋"/>
                <w:b/>
                <w:color w:val="000000"/>
                <w:sz w:val="24"/>
                <w:szCs w:val="24"/>
              </w:rPr>
              <w:t>等级人员数量</w:t>
            </w:r>
          </w:p>
        </w:tc>
        <w:tc>
          <w:tcPr>
            <w:tcW w:w="1112" w:type="dxa"/>
            <w:vAlign w:val="center"/>
          </w:tcPr>
          <w:p w14:paraId="1B75B136">
            <w:pPr>
              <w:spacing w:line="276" w:lineRule="auto"/>
              <w:jc w:val="center"/>
              <w:rPr>
                <w:rFonts w:ascii="Times New Roman" w:hAnsi="Times New Roman" w:eastAsia="仿宋"/>
                <w:b/>
                <w:color w:val="000000"/>
                <w:sz w:val="24"/>
                <w:szCs w:val="24"/>
              </w:rPr>
            </w:pPr>
            <w:r>
              <w:rPr>
                <w:rFonts w:hint="eastAsia" w:ascii="Times New Roman" w:hAnsi="Times New Roman" w:eastAsia="仿宋"/>
                <w:b/>
                <w:color w:val="000000"/>
                <w:sz w:val="24"/>
                <w:szCs w:val="24"/>
              </w:rPr>
              <w:t>“</w:t>
            </w:r>
            <w:r>
              <w:rPr>
                <w:rFonts w:ascii="Times New Roman" w:hAnsi="Times New Roman" w:eastAsia="仿宋"/>
                <w:b/>
                <w:color w:val="000000"/>
                <w:sz w:val="24"/>
                <w:szCs w:val="24"/>
              </w:rPr>
              <w:t>良好</w:t>
            </w:r>
            <w:r>
              <w:rPr>
                <w:rFonts w:hint="eastAsia" w:ascii="Times New Roman" w:hAnsi="Times New Roman" w:eastAsia="仿宋"/>
                <w:b/>
                <w:color w:val="000000"/>
                <w:sz w:val="24"/>
                <w:szCs w:val="24"/>
              </w:rPr>
              <w:t>”</w:t>
            </w:r>
            <w:r>
              <w:rPr>
                <w:rFonts w:ascii="Times New Roman" w:hAnsi="Times New Roman" w:eastAsia="仿宋"/>
                <w:b/>
                <w:color w:val="000000"/>
                <w:sz w:val="24"/>
                <w:szCs w:val="24"/>
              </w:rPr>
              <w:t>等级人员数量</w:t>
            </w:r>
          </w:p>
        </w:tc>
        <w:tc>
          <w:tcPr>
            <w:tcW w:w="826" w:type="dxa"/>
            <w:vAlign w:val="center"/>
          </w:tcPr>
          <w:p w14:paraId="1F47A985">
            <w:pPr>
              <w:spacing w:line="276" w:lineRule="auto"/>
              <w:jc w:val="center"/>
              <w:rPr>
                <w:rFonts w:ascii="Times New Roman" w:hAnsi="Times New Roman" w:eastAsia="仿宋"/>
                <w:b/>
                <w:color w:val="000000"/>
                <w:sz w:val="24"/>
                <w:szCs w:val="24"/>
              </w:rPr>
            </w:pPr>
            <w:r>
              <w:rPr>
                <w:rFonts w:ascii="Times New Roman" w:hAnsi="Times New Roman" w:eastAsia="仿宋"/>
                <w:b/>
                <w:color w:val="000000"/>
                <w:sz w:val="24"/>
                <w:szCs w:val="24"/>
              </w:rPr>
              <w:t>合计</w:t>
            </w:r>
          </w:p>
        </w:tc>
      </w:tr>
      <w:tr w14:paraId="29A0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47D0A211">
            <w:pPr>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4111" w:type="dxa"/>
            <w:vAlign w:val="center"/>
          </w:tcPr>
          <w:p w14:paraId="6F3E4CC7">
            <w:pPr>
              <w:jc w:val="center"/>
              <w:rPr>
                <w:rFonts w:ascii="Times New Roman" w:hAnsi="Times New Roman" w:eastAsia="仿宋"/>
                <w:sz w:val="24"/>
                <w:szCs w:val="24"/>
              </w:rPr>
            </w:pPr>
            <w:r>
              <w:rPr>
                <w:rFonts w:ascii="Times New Roman" w:hAnsi="Times New Roman" w:eastAsia="仿宋"/>
                <w:sz w:val="24"/>
                <w:szCs w:val="24"/>
              </w:rPr>
              <w:t>广东合富房地产置业有限公司</w:t>
            </w:r>
          </w:p>
        </w:tc>
        <w:tc>
          <w:tcPr>
            <w:tcW w:w="1134" w:type="dxa"/>
            <w:vAlign w:val="center"/>
          </w:tcPr>
          <w:p w14:paraId="3E145571">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5915FA99">
            <w:pPr>
              <w:jc w:val="center"/>
              <w:rPr>
                <w:rFonts w:ascii="Times New Roman" w:hAnsi="Times New Roman" w:eastAsia="仿宋"/>
                <w:sz w:val="24"/>
                <w:szCs w:val="24"/>
              </w:rPr>
            </w:pPr>
            <w:r>
              <w:rPr>
                <w:rFonts w:ascii="Times New Roman" w:hAnsi="Times New Roman" w:eastAsia="仿宋"/>
                <w:sz w:val="24"/>
                <w:szCs w:val="24"/>
              </w:rPr>
              <w:t>120</w:t>
            </w:r>
          </w:p>
        </w:tc>
        <w:tc>
          <w:tcPr>
            <w:tcW w:w="1112" w:type="dxa"/>
            <w:vAlign w:val="center"/>
          </w:tcPr>
          <w:p w14:paraId="6E9A52F5">
            <w:pPr>
              <w:jc w:val="center"/>
              <w:rPr>
                <w:rFonts w:ascii="Times New Roman" w:hAnsi="Times New Roman" w:eastAsia="仿宋"/>
                <w:sz w:val="24"/>
                <w:szCs w:val="24"/>
              </w:rPr>
            </w:pPr>
            <w:r>
              <w:rPr>
                <w:rFonts w:ascii="Times New Roman" w:hAnsi="Times New Roman" w:eastAsia="仿宋"/>
                <w:sz w:val="24"/>
                <w:szCs w:val="24"/>
              </w:rPr>
              <w:t>78</w:t>
            </w:r>
          </w:p>
        </w:tc>
        <w:tc>
          <w:tcPr>
            <w:tcW w:w="826" w:type="dxa"/>
            <w:vAlign w:val="center"/>
          </w:tcPr>
          <w:p w14:paraId="33ABF54D">
            <w:pPr>
              <w:jc w:val="center"/>
              <w:rPr>
                <w:rFonts w:ascii="Times New Roman" w:hAnsi="Times New Roman" w:eastAsia="仿宋"/>
                <w:sz w:val="24"/>
                <w:szCs w:val="24"/>
              </w:rPr>
            </w:pPr>
            <w:r>
              <w:rPr>
                <w:rFonts w:ascii="Times New Roman" w:hAnsi="Times New Roman" w:eastAsia="仿宋"/>
                <w:sz w:val="24"/>
                <w:szCs w:val="24"/>
              </w:rPr>
              <w:t>198</w:t>
            </w:r>
          </w:p>
        </w:tc>
      </w:tr>
      <w:tr w14:paraId="2A90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344F0BE9">
            <w:pPr>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4111" w:type="dxa"/>
            <w:vAlign w:val="center"/>
          </w:tcPr>
          <w:p w14:paraId="17D053B6">
            <w:pPr>
              <w:jc w:val="center"/>
              <w:rPr>
                <w:rFonts w:ascii="Times New Roman" w:hAnsi="Times New Roman" w:eastAsia="仿宋"/>
                <w:sz w:val="24"/>
                <w:szCs w:val="24"/>
              </w:rPr>
            </w:pPr>
            <w:r>
              <w:rPr>
                <w:rFonts w:ascii="Times New Roman" w:hAnsi="Times New Roman" w:eastAsia="仿宋"/>
                <w:sz w:val="24"/>
                <w:szCs w:val="24"/>
              </w:rPr>
              <w:t>广东中原地产代理有限公司</w:t>
            </w:r>
          </w:p>
        </w:tc>
        <w:tc>
          <w:tcPr>
            <w:tcW w:w="1134" w:type="dxa"/>
            <w:vAlign w:val="center"/>
          </w:tcPr>
          <w:p w14:paraId="522C8DEE">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6D5C307F">
            <w:pPr>
              <w:jc w:val="center"/>
              <w:rPr>
                <w:rFonts w:ascii="Times New Roman" w:hAnsi="Times New Roman" w:eastAsia="仿宋"/>
                <w:sz w:val="24"/>
                <w:szCs w:val="24"/>
              </w:rPr>
            </w:pPr>
            <w:r>
              <w:rPr>
                <w:rFonts w:ascii="Times New Roman" w:hAnsi="Times New Roman" w:eastAsia="仿宋"/>
                <w:sz w:val="24"/>
                <w:szCs w:val="24"/>
              </w:rPr>
              <w:t>86</w:t>
            </w:r>
          </w:p>
        </w:tc>
        <w:tc>
          <w:tcPr>
            <w:tcW w:w="1112" w:type="dxa"/>
            <w:vAlign w:val="center"/>
          </w:tcPr>
          <w:p w14:paraId="17AD6C21">
            <w:pPr>
              <w:jc w:val="center"/>
              <w:rPr>
                <w:rFonts w:ascii="Times New Roman" w:hAnsi="Times New Roman" w:eastAsia="仿宋"/>
                <w:sz w:val="24"/>
                <w:szCs w:val="24"/>
              </w:rPr>
            </w:pPr>
            <w:r>
              <w:rPr>
                <w:rFonts w:ascii="Times New Roman" w:hAnsi="Times New Roman" w:eastAsia="仿宋"/>
                <w:sz w:val="24"/>
                <w:szCs w:val="24"/>
              </w:rPr>
              <w:t>72</w:t>
            </w:r>
          </w:p>
        </w:tc>
        <w:tc>
          <w:tcPr>
            <w:tcW w:w="826" w:type="dxa"/>
            <w:vAlign w:val="center"/>
          </w:tcPr>
          <w:p w14:paraId="54DF73B6">
            <w:pPr>
              <w:jc w:val="center"/>
              <w:rPr>
                <w:rFonts w:ascii="Times New Roman" w:hAnsi="Times New Roman" w:eastAsia="仿宋"/>
                <w:sz w:val="24"/>
                <w:szCs w:val="24"/>
              </w:rPr>
            </w:pPr>
            <w:r>
              <w:rPr>
                <w:rFonts w:ascii="Times New Roman" w:hAnsi="Times New Roman" w:eastAsia="仿宋"/>
                <w:sz w:val="24"/>
                <w:szCs w:val="24"/>
              </w:rPr>
              <w:t>158</w:t>
            </w:r>
          </w:p>
        </w:tc>
      </w:tr>
      <w:tr w14:paraId="25FF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6EA6C143">
            <w:pPr>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4111" w:type="dxa"/>
            <w:vAlign w:val="center"/>
          </w:tcPr>
          <w:p w14:paraId="754BE6DA">
            <w:pPr>
              <w:jc w:val="center"/>
              <w:rPr>
                <w:rFonts w:ascii="Times New Roman" w:hAnsi="Times New Roman" w:eastAsia="仿宋"/>
                <w:sz w:val="24"/>
                <w:szCs w:val="24"/>
              </w:rPr>
            </w:pPr>
            <w:r>
              <w:rPr>
                <w:rFonts w:ascii="Times New Roman" w:hAnsi="Times New Roman" w:eastAsia="仿宋"/>
                <w:sz w:val="24"/>
                <w:szCs w:val="24"/>
              </w:rPr>
              <w:t>广东链家房地产经纪有限公司</w:t>
            </w:r>
          </w:p>
        </w:tc>
        <w:tc>
          <w:tcPr>
            <w:tcW w:w="1134" w:type="dxa"/>
            <w:vAlign w:val="center"/>
          </w:tcPr>
          <w:p w14:paraId="68DFC0F4">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3B6578ED">
            <w:pPr>
              <w:jc w:val="center"/>
              <w:rPr>
                <w:rFonts w:ascii="Times New Roman" w:hAnsi="Times New Roman" w:eastAsia="仿宋"/>
                <w:sz w:val="24"/>
                <w:szCs w:val="24"/>
              </w:rPr>
            </w:pPr>
            <w:r>
              <w:rPr>
                <w:rFonts w:ascii="Times New Roman" w:hAnsi="Times New Roman" w:eastAsia="仿宋"/>
                <w:sz w:val="24"/>
                <w:szCs w:val="24"/>
              </w:rPr>
              <w:t>77</w:t>
            </w:r>
          </w:p>
        </w:tc>
        <w:tc>
          <w:tcPr>
            <w:tcW w:w="1112" w:type="dxa"/>
            <w:vAlign w:val="center"/>
          </w:tcPr>
          <w:p w14:paraId="57452E0A">
            <w:pPr>
              <w:jc w:val="center"/>
              <w:rPr>
                <w:rFonts w:ascii="Times New Roman" w:hAnsi="Times New Roman" w:eastAsia="仿宋"/>
                <w:sz w:val="24"/>
                <w:szCs w:val="24"/>
              </w:rPr>
            </w:pPr>
            <w:r>
              <w:rPr>
                <w:rFonts w:ascii="Times New Roman" w:hAnsi="Times New Roman" w:eastAsia="仿宋"/>
                <w:sz w:val="24"/>
                <w:szCs w:val="24"/>
              </w:rPr>
              <w:t>47</w:t>
            </w:r>
          </w:p>
        </w:tc>
        <w:tc>
          <w:tcPr>
            <w:tcW w:w="826" w:type="dxa"/>
            <w:vAlign w:val="center"/>
          </w:tcPr>
          <w:p w14:paraId="003250AF">
            <w:pPr>
              <w:jc w:val="center"/>
              <w:rPr>
                <w:rFonts w:ascii="Times New Roman" w:hAnsi="Times New Roman" w:eastAsia="仿宋"/>
                <w:sz w:val="24"/>
                <w:szCs w:val="24"/>
              </w:rPr>
            </w:pPr>
            <w:r>
              <w:rPr>
                <w:rFonts w:ascii="Times New Roman" w:hAnsi="Times New Roman" w:eastAsia="仿宋"/>
                <w:sz w:val="24"/>
                <w:szCs w:val="24"/>
              </w:rPr>
              <w:t>124</w:t>
            </w:r>
          </w:p>
        </w:tc>
      </w:tr>
      <w:tr w14:paraId="427A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415E07A7">
            <w:pPr>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c>
          <w:tcPr>
            <w:tcW w:w="4111" w:type="dxa"/>
            <w:vAlign w:val="center"/>
          </w:tcPr>
          <w:p w14:paraId="61B07A34">
            <w:pPr>
              <w:jc w:val="center"/>
              <w:rPr>
                <w:rFonts w:ascii="Times New Roman" w:hAnsi="Times New Roman" w:eastAsia="仿宋"/>
                <w:sz w:val="24"/>
                <w:szCs w:val="24"/>
              </w:rPr>
            </w:pPr>
            <w:r>
              <w:rPr>
                <w:rFonts w:ascii="Times New Roman" w:hAnsi="Times New Roman" w:eastAsia="仿宋"/>
                <w:sz w:val="24"/>
                <w:szCs w:val="24"/>
              </w:rPr>
              <w:t>广州越秀兴业地产代理有限公司</w:t>
            </w:r>
          </w:p>
        </w:tc>
        <w:tc>
          <w:tcPr>
            <w:tcW w:w="1134" w:type="dxa"/>
            <w:vAlign w:val="center"/>
          </w:tcPr>
          <w:p w14:paraId="58971DDB">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464A8D55">
            <w:pPr>
              <w:jc w:val="center"/>
              <w:rPr>
                <w:rFonts w:ascii="Times New Roman" w:hAnsi="Times New Roman" w:eastAsia="仿宋"/>
                <w:sz w:val="24"/>
                <w:szCs w:val="24"/>
              </w:rPr>
            </w:pPr>
            <w:r>
              <w:rPr>
                <w:rFonts w:ascii="Times New Roman" w:hAnsi="Times New Roman" w:eastAsia="仿宋"/>
                <w:sz w:val="24"/>
                <w:szCs w:val="24"/>
              </w:rPr>
              <w:t>31</w:t>
            </w:r>
          </w:p>
        </w:tc>
        <w:tc>
          <w:tcPr>
            <w:tcW w:w="1112" w:type="dxa"/>
            <w:vAlign w:val="center"/>
          </w:tcPr>
          <w:p w14:paraId="0AFEE598">
            <w:pPr>
              <w:jc w:val="center"/>
              <w:rPr>
                <w:rFonts w:ascii="Times New Roman" w:hAnsi="Times New Roman" w:eastAsia="仿宋"/>
                <w:sz w:val="24"/>
                <w:szCs w:val="24"/>
              </w:rPr>
            </w:pPr>
            <w:r>
              <w:rPr>
                <w:rFonts w:ascii="Times New Roman" w:hAnsi="Times New Roman" w:eastAsia="仿宋"/>
                <w:sz w:val="24"/>
                <w:szCs w:val="24"/>
              </w:rPr>
              <w:t>27</w:t>
            </w:r>
          </w:p>
        </w:tc>
        <w:tc>
          <w:tcPr>
            <w:tcW w:w="826" w:type="dxa"/>
            <w:vAlign w:val="center"/>
          </w:tcPr>
          <w:p w14:paraId="610E5516">
            <w:pPr>
              <w:jc w:val="center"/>
              <w:rPr>
                <w:rFonts w:ascii="Times New Roman" w:hAnsi="Times New Roman" w:eastAsia="仿宋"/>
                <w:sz w:val="24"/>
                <w:szCs w:val="24"/>
              </w:rPr>
            </w:pPr>
            <w:r>
              <w:rPr>
                <w:rFonts w:ascii="Times New Roman" w:hAnsi="Times New Roman" w:eastAsia="仿宋"/>
                <w:sz w:val="24"/>
                <w:szCs w:val="24"/>
              </w:rPr>
              <w:t>58</w:t>
            </w:r>
          </w:p>
        </w:tc>
      </w:tr>
      <w:tr w14:paraId="5E68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37E0DB1F">
            <w:pPr>
              <w:jc w:val="center"/>
              <w:rPr>
                <w:rFonts w:ascii="Times New Roman" w:hAnsi="Times New Roman" w:eastAsia="仿宋"/>
                <w:color w:val="000000"/>
                <w:sz w:val="24"/>
                <w:szCs w:val="24"/>
              </w:rPr>
            </w:pPr>
            <w:r>
              <w:rPr>
                <w:rFonts w:ascii="Times New Roman" w:hAnsi="Times New Roman" w:eastAsia="仿宋"/>
                <w:color w:val="000000"/>
                <w:sz w:val="24"/>
                <w:szCs w:val="24"/>
              </w:rPr>
              <w:t>5</w:t>
            </w:r>
          </w:p>
        </w:tc>
        <w:tc>
          <w:tcPr>
            <w:tcW w:w="4111" w:type="dxa"/>
            <w:vAlign w:val="center"/>
          </w:tcPr>
          <w:p w14:paraId="547AF2E5">
            <w:pPr>
              <w:jc w:val="center"/>
              <w:rPr>
                <w:rFonts w:ascii="Times New Roman" w:hAnsi="Times New Roman" w:eastAsia="仿宋"/>
                <w:sz w:val="24"/>
                <w:szCs w:val="24"/>
              </w:rPr>
            </w:pPr>
            <w:r>
              <w:rPr>
                <w:rFonts w:ascii="Times New Roman" w:hAnsi="Times New Roman" w:eastAsia="仿宋"/>
                <w:sz w:val="24"/>
                <w:szCs w:val="24"/>
              </w:rPr>
              <w:t>广州礼德房地产销售代理有限公司</w:t>
            </w:r>
          </w:p>
        </w:tc>
        <w:tc>
          <w:tcPr>
            <w:tcW w:w="1134" w:type="dxa"/>
            <w:vAlign w:val="center"/>
          </w:tcPr>
          <w:p w14:paraId="10A6F3BF">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69B7F58D">
            <w:pPr>
              <w:jc w:val="center"/>
              <w:rPr>
                <w:rFonts w:ascii="Times New Roman" w:hAnsi="Times New Roman" w:eastAsia="仿宋"/>
                <w:sz w:val="24"/>
                <w:szCs w:val="24"/>
              </w:rPr>
            </w:pPr>
            <w:r>
              <w:rPr>
                <w:rFonts w:ascii="Times New Roman" w:hAnsi="Times New Roman" w:eastAsia="仿宋"/>
                <w:sz w:val="24"/>
                <w:szCs w:val="24"/>
              </w:rPr>
              <w:t>25</w:t>
            </w:r>
          </w:p>
        </w:tc>
        <w:tc>
          <w:tcPr>
            <w:tcW w:w="1112" w:type="dxa"/>
            <w:vAlign w:val="center"/>
          </w:tcPr>
          <w:p w14:paraId="2602FF2B">
            <w:pPr>
              <w:jc w:val="center"/>
              <w:rPr>
                <w:rFonts w:ascii="Times New Roman" w:hAnsi="Times New Roman" w:eastAsia="仿宋"/>
                <w:sz w:val="24"/>
                <w:szCs w:val="24"/>
              </w:rPr>
            </w:pPr>
            <w:r>
              <w:rPr>
                <w:rFonts w:ascii="Times New Roman" w:hAnsi="Times New Roman" w:eastAsia="仿宋"/>
                <w:sz w:val="24"/>
                <w:szCs w:val="24"/>
              </w:rPr>
              <w:t>7</w:t>
            </w:r>
          </w:p>
        </w:tc>
        <w:tc>
          <w:tcPr>
            <w:tcW w:w="826" w:type="dxa"/>
            <w:vAlign w:val="center"/>
          </w:tcPr>
          <w:p w14:paraId="72DF0AA5">
            <w:pPr>
              <w:jc w:val="center"/>
              <w:rPr>
                <w:rFonts w:ascii="Times New Roman" w:hAnsi="Times New Roman" w:eastAsia="仿宋"/>
                <w:sz w:val="24"/>
                <w:szCs w:val="24"/>
              </w:rPr>
            </w:pPr>
            <w:r>
              <w:rPr>
                <w:rFonts w:ascii="Times New Roman" w:hAnsi="Times New Roman" w:eastAsia="仿宋"/>
                <w:sz w:val="24"/>
                <w:szCs w:val="24"/>
              </w:rPr>
              <w:t>32</w:t>
            </w:r>
          </w:p>
        </w:tc>
      </w:tr>
      <w:tr w14:paraId="276A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167B5C7E">
            <w:pPr>
              <w:jc w:val="center"/>
              <w:rPr>
                <w:rFonts w:ascii="Times New Roman" w:hAnsi="Times New Roman" w:eastAsia="仿宋"/>
                <w:color w:val="000000"/>
                <w:sz w:val="24"/>
                <w:szCs w:val="24"/>
              </w:rPr>
            </w:pPr>
            <w:r>
              <w:rPr>
                <w:rFonts w:ascii="Times New Roman" w:hAnsi="Times New Roman" w:eastAsia="仿宋"/>
                <w:color w:val="000000"/>
                <w:sz w:val="24"/>
                <w:szCs w:val="24"/>
              </w:rPr>
              <w:t>6</w:t>
            </w:r>
          </w:p>
        </w:tc>
        <w:tc>
          <w:tcPr>
            <w:tcW w:w="4111" w:type="dxa"/>
            <w:vAlign w:val="center"/>
          </w:tcPr>
          <w:p w14:paraId="4ECE5EEC">
            <w:pPr>
              <w:jc w:val="center"/>
              <w:rPr>
                <w:rFonts w:ascii="Times New Roman" w:hAnsi="Times New Roman" w:eastAsia="仿宋"/>
                <w:sz w:val="24"/>
                <w:szCs w:val="24"/>
              </w:rPr>
            </w:pPr>
            <w:r>
              <w:rPr>
                <w:rFonts w:ascii="Times New Roman" w:hAnsi="Times New Roman" w:eastAsia="仿宋"/>
                <w:sz w:val="24"/>
                <w:szCs w:val="24"/>
              </w:rPr>
              <w:t>广州信仁房地产销售代理有限公司</w:t>
            </w:r>
          </w:p>
        </w:tc>
        <w:tc>
          <w:tcPr>
            <w:tcW w:w="1134" w:type="dxa"/>
            <w:vAlign w:val="center"/>
          </w:tcPr>
          <w:p w14:paraId="3BC6EC72">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38EFC4C7">
            <w:pPr>
              <w:jc w:val="center"/>
              <w:rPr>
                <w:rFonts w:ascii="Times New Roman" w:hAnsi="Times New Roman" w:eastAsia="仿宋"/>
                <w:sz w:val="24"/>
                <w:szCs w:val="24"/>
              </w:rPr>
            </w:pPr>
            <w:r>
              <w:rPr>
                <w:rFonts w:ascii="Times New Roman" w:hAnsi="Times New Roman" w:eastAsia="仿宋"/>
                <w:sz w:val="24"/>
                <w:szCs w:val="24"/>
              </w:rPr>
              <w:t>14</w:t>
            </w:r>
          </w:p>
        </w:tc>
        <w:tc>
          <w:tcPr>
            <w:tcW w:w="1112" w:type="dxa"/>
            <w:vAlign w:val="center"/>
          </w:tcPr>
          <w:p w14:paraId="79D80CDF">
            <w:pPr>
              <w:jc w:val="center"/>
              <w:rPr>
                <w:rFonts w:ascii="Times New Roman" w:hAnsi="Times New Roman" w:eastAsia="仿宋"/>
                <w:sz w:val="24"/>
                <w:szCs w:val="24"/>
              </w:rPr>
            </w:pPr>
            <w:r>
              <w:rPr>
                <w:rFonts w:ascii="Times New Roman" w:hAnsi="Times New Roman" w:eastAsia="仿宋"/>
                <w:sz w:val="24"/>
                <w:szCs w:val="24"/>
              </w:rPr>
              <w:t>10</w:t>
            </w:r>
          </w:p>
        </w:tc>
        <w:tc>
          <w:tcPr>
            <w:tcW w:w="826" w:type="dxa"/>
            <w:vAlign w:val="center"/>
          </w:tcPr>
          <w:p w14:paraId="420B0690">
            <w:pPr>
              <w:jc w:val="center"/>
              <w:rPr>
                <w:rFonts w:ascii="Times New Roman" w:hAnsi="Times New Roman" w:eastAsia="仿宋"/>
                <w:sz w:val="24"/>
                <w:szCs w:val="24"/>
              </w:rPr>
            </w:pPr>
            <w:r>
              <w:rPr>
                <w:rFonts w:ascii="Times New Roman" w:hAnsi="Times New Roman" w:eastAsia="仿宋"/>
                <w:sz w:val="24"/>
                <w:szCs w:val="24"/>
              </w:rPr>
              <w:t>24</w:t>
            </w:r>
          </w:p>
        </w:tc>
      </w:tr>
      <w:tr w14:paraId="2AB6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6EEBCD1C">
            <w:pPr>
              <w:jc w:val="center"/>
              <w:rPr>
                <w:rFonts w:ascii="Times New Roman" w:hAnsi="Times New Roman" w:eastAsia="仿宋"/>
                <w:color w:val="000000"/>
                <w:sz w:val="24"/>
                <w:szCs w:val="24"/>
              </w:rPr>
            </w:pPr>
            <w:r>
              <w:rPr>
                <w:rFonts w:ascii="Times New Roman" w:hAnsi="Times New Roman" w:eastAsia="仿宋"/>
                <w:color w:val="000000"/>
                <w:sz w:val="24"/>
                <w:szCs w:val="24"/>
              </w:rPr>
              <w:t>7</w:t>
            </w:r>
          </w:p>
        </w:tc>
        <w:tc>
          <w:tcPr>
            <w:tcW w:w="4111" w:type="dxa"/>
            <w:vAlign w:val="center"/>
          </w:tcPr>
          <w:p w14:paraId="2341E9BE">
            <w:pPr>
              <w:jc w:val="center"/>
              <w:rPr>
                <w:rFonts w:ascii="Times New Roman" w:hAnsi="Times New Roman" w:eastAsia="仿宋"/>
                <w:sz w:val="24"/>
                <w:szCs w:val="24"/>
              </w:rPr>
            </w:pPr>
            <w:r>
              <w:rPr>
                <w:rFonts w:ascii="Times New Roman" w:hAnsi="Times New Roman" w:eastAsia="仿宋"/>
                <w:sz w:val="24"/>
                <w:szCs w:val="24"/>
              </w:rPr>
              <w:t>广州明昇房地产销售代理有限公司</w:t>
            </w:r>
          </w:p>
        </w:tc>
        <w:tc>
          <w:tcPr>
            <w:tcW w:w="1134" w:type="dxa"/>
            <w:vAlign w:val="center"/>
          </w:tcPr>
          <w:p w14:paraId="2D9D5290">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100D5B14">
            <w:pPr>
              <w:jc w:val="center"/>
              <w:rPr>
                <w:rFonts w:ascii="Times New Roman" w:hAnsi="Times New Roman" w:eastAsia="仿宋"/>
                <w:sz w:val="24"/>
                <w:szCs w:val="24"/>
              </w:rPr>
            </w:pPr>
            <w:r>
              <w:rPr>
                <w:rFonts w:ascii="Times New Roman" w:hAnsi="Times New Roman" w:eastAsia="仿宋"/>
                <w:sz w:val="24"/>
                <w:szCs w:val="24"/>
              </w:rPr>
              <w:t>17</w:t>
            </w:r>
          </w:p>
        </w:tc>
        <w:tc>
          <w:tcPr>
            <w:tcW w:w="1112" w:type="dxa"/>
            <w:vAlign w:val="center"/>
          </w:tcPr>
          <w:p w14:paraId="19BFEC76">
            <w:pPr>
              <w:jc w:val="center"/>
              <w:rPr>
                <w:rFonts w:ascii="Times New Roman" w:hAnsi="Times New Roman" w:eastAsia="仿宋"/>
                <w:sz w:val="24"/>
                <w:szCs w:val="24"/>
              </w:rPr>
            </w:pPr>
            <w:r>
              <w:rPr>
                <w:rFonts w:ascii="Times New Roman" w:hAnsi="Times New Roman" w:eastAsia="仿宋"/>
                <w:sz w:val="24"/>
                <w:szCs w:val="24"/>
              </w:rPr>
              <w:t>7</w:t>
            </w:r>
          </w:p>
        </w:tc>
        <w:tc>
          <w:tcPr>
            <w:tcW w:w="826" w:type="dxa"/>
            <w:vAlign w:val="center"/>
          </w:tcPr>
          <w:p w14:paraId="5A2FF654">
            <w:pPr>
              <w:jc w:val="center"/>
              <w:rPr>
                <w:rFonts w:ascii="Times New Roman" w:hAnsi="Times New Roman" w:eastAsia="仿宋"/>
                <w:sz w:val="24"/>
                <w:szCs w:val="24"/>
              </w:rPr>
            </w:pPr>
            <w:r>
              <w:rPr>
                <w:rFonts w:ascii="Times New Roman" w:hAnsi="Times New Roman" w:eastAsia="仿宋"/>
                <w:sz w:val="24"/>
                <w:szCs w:val="24"/>
              </w:rPr>
              <w:t>24</w:t>
            </w:r>
          </w:p>
        </w:tc>
      </w:tr>
      <w:tr w14:paraId="0746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6BEB6A31">
            <w:pPr>
              <w:jc w:val="center"/>
              <w:rPr>
                <w:rFonts w:ascii="Times New Roman" w:hAnsi="Times New Roman" w:eastAsia="仿宋"/>
                <w:color w:val="000000"/>
                <w:sz w:val="24"/>
                <w:szCs w:val="24"/>
              </w:rPr>
            </w:pPr>
            <w:r>
              <w:rPr>
                <w:rFonts w:ascii="Times New Roman" w:hAnsi="Times New Roman" w:eastAsia="仿宋"/>
                <w:color w:val="000000"/>
                <w:sz w:val="24"/>
                <w:szCs w:val="24"/>
              </w:rPr>
              <w:t>8</w:t>
            </w:r>
          </w:p>
        </w:tc>
        <w:tc>
          <w:tcPr>
            <w:tcW w:w="4111" w:type="dxa"/>
            <w:vAlign w:val="center"/>
          </w:tcPr>
          <w:p w14:paraId="490C49BA">
            <w:pPr>
              <w:jc w:val="center"/>
              <w:rPr>
                <w:rFonts w:ascii="Times New Roman" w:hAnsi="Times New Roman" w:eastAsia="仿宋"/>
                <w:sz w:val="24"/>
                <w:szCs w:val="24"/>
              </w:rPr>
            </w:pPr>
            <w:r>
              <w:rPr>
                <w:rFonts w:ascii="Times New Roman" w:hAnsi="Times New Roman" w:eastAsia="仿宋"/>
                <w:sz w:val="24"/>
                <w:szCs w:val="24"/>
              </w:rPr>
              <w:t>广州信礼房地产销售代理有限公司</w:t>
            </w:r>
          </w:p>
        </w:tc>
        <w:tc>
          <w:tcPr>
            <w:tcW w:w="1134" w:type="dxa"/>
            <w:vAlign w:val="center"/>
          </w:tcPr>
          <w:p w14:paraId="5B9C1BE9">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3E269C28">
            <w:pPr>
              <w:jc w:val="center"/>
              <w:rPr>
                <w:rFonts w:ascii="Times New Roman" w:hAnsi="Times New Roman" w:eastAsia="仿宋"/>
                <w:sz w:val="24"/>
                <w:szCs w:val="24"/>
              </w:rPr>
            </w:pPr>
            <w:r>
              <w:rPr>
                <w:rFonts w:ascii="Times New Roman" w:hAnsi="Times New Roman" w:eastAsia="仿宋"/>
                <w:sz w:val="24"/>
                <w:szCs w:val="24"/>
              </w:rPr>
              <w:t>10</w:t>
            </w:r>
          </w:p>
        </w:tc>
        <w:tc>
          <w:tcPr>
            <w:tcW w:w="1112" w:type="dxa"/>
            <w:vAlign w:val="center"/>
          </w:tcPr>
          <w:p w14:paraId="5D9BD4CF">
            <w:pPr>
              <w:jc w:val="center"/>
              <w:rPr>
                <w:rFonts w:ascii="Times New Roman" w:hAnsi="Times New Roman" w:eastAsia="仿宋"/>
                <w:sz w:val="24"/>
                <w:szCs w:val="24"/>
              </w:rPr>
            </w:pPr>
            <w:r>
              <w:rPr>
                <w:rFonts w:ascii="Times New Roman" w:hAnsi="Times New Roman" w:eastAsia="仿宋"/>
                <w:sz w:val="24"/>
                <w:szCs w:val="24"/>
              </w:rPr>
              <w:t>10</w:t>
            </w:r>
          </w:p>
        </w:tc>
        <w:tc>
          <w:tcPr>
            <w:tcW w:w="826" w:type="dxa"/>
            <w:vAlign w:val="center"/>
          </w:tcPr>
          <w:p w14:paraId="4064F1BF">
            <w:pPr>
              <w:jc w:val="center"/>
              <w:rPr>
                <w:rFonts w:ascii="Times New Roman" w:hAnsi="Times New Roman" w:eastAsia="仿宋"/>
                <w:sz w:val="24"/>
                <w:szCs w:val="24"/>
              </w:rPr>
            </w:pPr>
            <w:r>
              <w:rPr>
                <w:rFonts w:ascii="Times New Roman" w:hAnsi="Times New Roman" w:eastAsia="仿宋"/>
                <w:sz w:val="24"/>
                <w:szCs w:val="24"/>
              </w:rPr>
              <w:t>20</w:t>
            </w:r>
          </w:p>
        </w:tc>
      </w:tr>
      <w:tr w14:paraId="10B4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7873DAA4">
            <w:pPr>
              <w:jc w:val="center"/>
              <w:rPr>
                <w:rFonts w:ascii="Times New Roman" w:hAnsi="Times New Roman" w:eastAsia="仿宋"/>
                <w:color w:val="000000"/>
                <w:sz w:val="24"/>
                <w:szCs w:val="24"/>
              </w:rPr>
            </w:pPr>
            <w:r>
              <w:rPr>
                <w:rFonts w:ascii="Times New Roman" w:hAnsi="Times New Roman" w:eastAsia="仿宋"/>
                <w:color w:val="000000"/>
                <w:sz w:val="24"/>
                <w:szCs w:val="24"/>
              </w:rPr>
              <w:t>9</w:t>
            </w:r>
          </w:p>
        </w:tc>
        <w:tc>
          <w:tcPr>
            <w:tcW w:w="4111" w:type="dxa"/>
            <w:vAlign w:val="center"/>
          </w:tcPr>
          <w:p w14:paraId="647DB0E4">
            <w:pPr>
              <w:jc w:val="center"/>
              <w:rPr>
                <w:rFonts w:ascii="Times New Roman" w:hAnsi="Times New Roman" w:eastAsia="仿宋"/>
                <w:sz w:val="24"/>
                <w:szCs w:val="24"/>
              </w:rPr>
            </w:pPr>
            <w:r>
              <w:rPr>
                <w:rFonts w:ascii="Times New Roman" w:hAnsi="Times New Roman" w:eastAsia="仿宋"/>
                <w:sz w:val="24"/>
                <w:szCs w:val="24"/>
              </w:rPr>
              <w:t>广州市智富房地产代理有限公司</w:t>
            </w:r>
          </w:p>
        </w:tc>
        <w:tc>
          <w:tcPr>
            <w:tcW w:w="1134" w:type="dxa"/>
            <w:vAlign w:val="center"/>
          </w:tcPr>
          <w:p w14:paraId="5D6B57FC">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vAlign w:val="center"/>
          </w:tcPr>
          <w:p w14:paraId="0277AA28">
            <w:pPr>
              <w:jc w:val="center"/>
              <w:rPr>
                <w:rFonts w:ascii="Times New Roman" w:hAnsi="Times New Roman" w:eastAsia="仿宋"/>
                <w:sz w:val="24"/>
                <w:szCs w:val="24"/>
              </w:rPr>
            </w:pPr>
            <w:r>
              <w:rPr>
                <w:rFonts w:ascii="Times New Roman" w:hAnsi="Times New Roman" w:eastAsia="仿宋"/>
                <w:sz w:val="24"/>
                <w:szCs w:val="24"/>
              </w:rPr>
              <w:t>1</w:t>
            </w:r>
          </w:p>
        </w:tc>
        <w:tc>
          <w:tcPr>
            <w:tcW w:w="1112" w:type="dxa"/>
            <w:vAlign w:val="center"/>
          </w:tcPr>
          <w:p w14:paraId="6FA95C0E">
            <w:pPr>
              <w:jc w:val="center"/>
              <w:rPr>
                <w:rFonts w:ascii="Times New Roman" w:hAnsi="Times New Roman" w:eastAsia="仿宋"/>
                <w:sz w:val="24"/>
                <w:szCs w:val="24"/>
              </w:rPr>
            </w:pPr>
            <w:r>
              <w:rPr>
                <w:rFonts w:ascii="Times New Roman" w:hAnsi="Times New Roman" w:eastAsia="仿宋"/>
                <w:sz w:val="24"/>
                <w:szCs w:val="24"/>
              </w:rPr>
              <w:t>13</w:t>
            </w:r>
          </w:p>
        </w:tc>
        <w:tc>
          <w:tcPr>
            <w:tcW w:w="826" w:type="dxa"/>
            <w:vAlign w:val="center"/>
          </w:tcPr>
          <w:p w14:paraId="5D626ED9">
            <w:pPr>
              <w:jc w:val="center"/>
              <w:rPr>
                <w:rFonts w:ascii="Times New Roman" w:hAnsi="Times New Roman" w:eastAsia="仿宋"/>
                <w:sz w:val="24"/>
                <w:szCs w:val="24"/>
              </w:rPr>
            </w:pPr>
            <w:r>
              <w:rPr>
                <w:rFonts w:ascii="Times New Roman" w:hAnsi="Times New Roman" w:eastAsia="仿宋"/>
                <w:sz w:val="24"/>
                <w:szCs w:val="24"/>
              </w:rPr>
              <w:t>14</w:t>
            </w:r>
          </w:p>
        </w:tc>
      </w:tr>
      <w:tr w14:paraId="5671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71DB72F0">
            <w:pPr>
              <w:jc w:val="center"/>
              <w:rPr>
                <w:rFonts w:ascii="Times New Roman" w:hAnsi="Times New Roman" w:eastAsia="仿宋"/>
                <w:color w:val="000000"/>
                <w:sz w:val="24"/>
                <w:szCs w:val="24"/>
              </w:rPr>
            </w:pPr>
            <w:r>
              <w:rPr>
                <w:rFonts w:ascii="Times New Roman" w:hAnsi="Times New Roman" w:eastAsia="仿宋"/>
                <w:color w:val="000000"/>
                <w:sz w:val="24"/>
                <w:szCs w:val="24"/>
              </w:rPr>
              <w:t>10</w:t>
            </w:r>
          </w:p>
        </w:tc>
        <w:tc>
          <w:tcPr>
            <w:tcW w:w="4111" w:type="dxa"/>
            <w:vAlign w:val="center"/>
          </w:tcPr>
          <w:p w14:paraId="38D3EB22">
            <w:pPr>
              <w:jc w:val="center"/>
              <w:rPr>
                <w:rFonts w:ascii="Times New Roman" w:hAnsi="Times New Roman" w:eastAsia="仿宋"/>
                <w:sz w:val="24"/>
                <w:szCs w:val="24"/>
              </w:rPr>
            </w:pPr>
            <w:r>
              <w:rPr>
                <w:rFonts w:ascii="Times New Roman" w:hAnsi="Times New Roman" w:eastAsia="仿宋"/>
                <w:sz w:val="24"/>
                <w:szCs w:val="24"/>
              </w:rPr>
              <w:t>广州市置家房地产代理有限公司</w:t>
            </w:r>
          </w:p>
        </w:tc>
        <w:tc>
          <w:tcPr>
            <w:tcW w:w="1134" w:type="dxa"/>
            <w:vAlign w:val="center"/>
          </w:tcPr>
          <w:p w14:paraId="2DB5089D">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777448DB">
            <w:pPr>
              <w:jc w:val="center"/>
              <w:rPr>
                <w:rFonts w:ascii="Times New Roman" w:hAnsi="Times New Roman" w:eastAsia="仿宋"/>
                <w:sz w:val="24"/>
                <w:szCs w:val="24"/>
              </w:rPr>
            </w:pPr>
            <w:r>
              <w:rPr>
                <w:rFonts w:ascii="Times New Roman" w:hAnsi="Times New Roman" w:eastAsia="仿宋"/>
                <w:sz w:val="24"/>
                <w:szCs w:val="24"/>
              </w:rPr>
              <w:t>5</w:t>
            </w:r>
          </w:p>
        </w:tc>
        <w:tc>
          <w:tcPr>
            <w:tcW w:w="1112" w:type="dxa"/>
            <w:vAlign w:val="center"/>
          </w:tcPr>
          <w:p w14:paraId="0589587C">
            <w:pPr>
              <w:jc w:val="center"/>
              <w:rPr>
                <w:rFonts w:ascii="Times New Roman" w:hAnsi="Times New Roman" w:eastAsia="仿宋"/>
                <w:sz w:val="24"/>
                <w:szCs w:val="24"/>
              </w:rPr>
            </w:pPr>
            <w:r>
              <w:rPr>
                <w:rFonts w:ascii="Times New Roman" w:hAnsi="Times New Roman" w:eastAsia="仿宋"/>
                <w:sz w:val="24"/>
                <w:szCs w:val="24"/>
              </w:rPr>
              <w:t>7</w:t>
            </w:r>
          </w:p>
        </w:tc>
        <w:tc>
          <w:tcPr>
            <w:tcW w:w="826" w:type="dxa"/>
            <w:vAlign w:val="center"/>
          </w:tcPr>
          <w:p w14:paraId="76A420AB">
            <w:pPr>
              <w:jc w:val="center"/>
              <w:rPr>
                <w:rFonts w:ascii="Times New Roman" w:hAnsi="Times New Roman" w:eastAsia="仿宋"/>
                <w:sz w:val="24"/>
                <w:szCs w:val="24"/>
              </w:rPr>
            </w:pPr>
            <w:r>
              <w:rPr>
                <w:rFonts w:ascii="Times New Roman" w:hAnsi="Times New Roman" w:eastAsia="仿宋"/>
                <w:sz w:val="24"/>
                <w:szCs w:val="24"/>
              </w:rPr>
              <w:t>12</w:t>
            </w:r>
          </w:p>
        </w:tc>
      </w:tr>
      <w:tr w14:paraId="1275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03388221">
            <w:pPr>
              <w:jc w:val="center"/>
              <w:rPr>
                <w:rFonts w:ascii="Times New Roman" w:hAnsi="Times New Roman" w:eastAsia="仿宋"/>
                <w:color w:val="000000"/>
                <w:sz w:val="24"/>
                <w:szCs w:val="24"/>
              </w:rPr>
            </w:pPr>
            <w:r>
              <w:rPr>
                <w:rFonts w:ascii="Times New Roman" w:hAnsi="Times New Roman" w:eastAsia="仿宋"/>
                <w:color w:val="000000"/>
                <w:sz w:val="24"/>
                <w:szCs w:val="24"/>
              </w:rPr>
              <w:t>11</w:t>
            </w:r>
          </w:p>
        </w:tc>
        <w:tc>
          <w:tcPr>
            <w:tcW w:w="4111" w:type="dxa"/>
            <w:vAlign w:val="center"/>
          </w:tcPr>
          <w:p w14:paraId="3A98121D">
            <w:pPr>
              <w:jc w:val="center"/>
              <w:rPr>
                <w:rFonts w:ascii="Times New Roman" w:hAnsi="Times New Roman" w:eastAsia="仿宋"/>
                <w:sz w:val="24"/>
                <w:szCs w:val="24"/>
              </w:rPr>
            </w:pPr>
            <w:r>
              <w:rPr>
                <w:rFonts w:ascii="Times New Roman" w:hAnsi="Times New Roman" w:eastAsia="仿宋"/>
                <w:sz w:val="24"/>
                <w:szCs w:val="24"/>
              </w:rPr>
              <w:t>房六六置业(广州)有限公司</w:t>
            </w:r>
          </w:p>
        </w:tc>
        <w:tc>
          <w:tcPr>
            <w:tcW w:w="1134" w:type="dxa"/>
            <w:vAlign w:val="center"/>
          </w:tcPr>
          <w:p w14:paraId="3E78A381">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7643F569">
            <w:pPr>
              <w:jc w:val="center"/>
              <w:rPr>
                <w:rFonts w:ascii="Times New Roman" w:hAnsi="Times New Roman" w:eastAsia="仿宋"/>
                <w:sz w:val="24"/>
                <w:szCs w:val="24"/>
              </w:rPr>
            </w:pPr>
            <w:r>
              <w:rPr>
                <w:rFonts w:ascii="Times New Roman" w:hAnsi="Times New Roman" w:eastAsia="仿宋"/>
                <w:sz w:val="24"/>
                <w:szCs w:val="24"/>
              </w:rPr>
              <w:t>2</w:t>
            </w:r>
          </w:p>
        </w:tc>
        <w:tc>
          <w:tcPr>
            <w:tcW w:w="1112" w:type="dxa"/>
            <w:vAlign w:val="center"/>
          </w:tcPr>
          <w:p w14:paraId="5A2B8CCC">
            <w:pPr>
              <w:jc w:val="center"/>
              <w:rPr>
                <w:rFonts w:ascii="Times New Roman" w:hAnsi="Times New Roman" w:eastAsia="仿宋"/>
                <w:sz w:val="24"/>
                <w:szCs w:val="24"/>
              </w:rPr>
            </w:pPr>
            <w:r>
              <w:rPr>
                <w:rFonts w:ascii="Times New Roman" w:hAnsi="Times New Roman" w:eastAsia="仿宋"/>
                <w:sz w:val="24"/>
                <w:szCs w:val="24"/>
              </w:rPr>
              <w:t>8</w:t>
            </w:r>
          </w:p>
        </w:tc>
        <w:tc>
          <w:tcPr>
            <w:tcW w:w="826" w:type="dxa"/>
            <w:vAlign w:val="center"/>
          </w:tcPr>
          <w:p w14:paraId="25855F11">
            <w:pPr>
              <w:jc w:val="center"/>
              <w:rPr>
                <w:rFonts w:ascii="Times New Roman" w:hAnsi="Times New Roman" w:eastAsia="仿宋"/>
                <w:sz w:val="24"/>
                <w:szCs w:val="24"/>
              </w:rPr>
            </w:pPr>
            <w:r>
              <w:rPr>
                <w:rFonts w:ascii="Times New Roman" w:hAnsi="Times New Roman" w:eastAsia="仿宋"/>
                <w:sz w:val="24"/>
                <w:szCs w:val="24"/>
              </w:rPr>
              <w:t>10</w:t>
            </w:r>
          </w:p>
        </w:tc>
      </w:tr>
      <w:tr w14:paraId="45BB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44740D98">
            <w:pPr>
              <w:jc w:val="center"/>
              <w:rPr>
                <w:rFonts w:ascii="Times New Roman" w:hAnsi="Times New Roman" w:eastAsia="仿宋"/>
                <w:color w:val="000000"/>
                <w:sz w:val="24"/>
                <w:szCs w:val="24"/>
              </w:rPr>
            </w:pPr>
            <w:r>
              <w:rPr>
                <w:rFonts w:ascii="Times New Roman" w:hAnsi="Times New Roman" w:eastAsia="仿宋"/>
                <w:color w:val="000000"/>
                <w:sz w:val="24"/>
                <w:szCs w:val="24"/>
              </w:rPr>
              <w:t>12</w:t>
            </w:r>
          </w:p>
        </w:tc>
        <w:tc>
          <w:tcPr>
            <w:tcW w:w="4111" w:type="dxa"/>
            <w:vAlign w:val="center"/>
          </w:tcPr>
          <w:p w14:paraId="5078DA5D">
            <w:pPr>
              <w:jc w:val="center"/>
              <w:rPr>
                <w:rFonts w:ascii="Times New Roman" w:hAnsi="Times New Roman" w:eastAsia="仿宋"/>
                <w:sz w:val="24"/>
                <w:szCs w:val="24"/>
              </w:rPr>
            </w:pPr>
            <w:r>
              <w:rPr>
                <w:rFonts w:ascii="Times New Roman" w:hAnsi="Times New Roman" w:eastAsia="仿宋"/>
                <w:sz w:val="24"/>
                <w:szCs w:val="24"/>
              </w:rPr>
              <w:t>广州市德鸿行房地产代理有限公司</w:t>
            </w:r>
          </w:p>
        </w:tc>
        <w:tc>
          <w:tcPr>
            <w:tcW w:w="1134" w:type="dxa"/>
            <w:vAlign w:val="center"/>
          </w:tcPr>
          <w:p w14:paraId="017782E8">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vAlign w:val="center"/>
          </w:tcPr>
          <w:p w14:paraId="761522AE">
            <w:pPr>
              <w:jc w:val="center"/>
              <w:rPr>
                <w:rFonts w:ascii="Times New Roman" w:hAnsi="Times New Roman" w:eastAsia="仿宋"/>
                <w:sz w:val="24"/>
                <w:szCs w:val="24"/>
              </w:rPr>
            </w:pPr>
            <w:r>
              <w:rPr>
                <w:rFonts w:ascii="Times New Roman" w:hAnsi="Times New Roman" w:eastAsia="仿宋"/>
                <w:sz w:val="24"/>
                <w:szCs w:val="24"/>
              </w:rPr>
              <w:t>4</w:t>
            </w:r>
          </w:p>
        </w:tc>
        <w:tc>
          <w:tcPr>
            <w:tcW w:w="1112" w:type="dxa"/>
            <w:vAlign w:val="center"/>
          </w:tcPr>
          <w:p w14:paraId="62484829">
            <w:pPr>
              <w:jc w:val="center"/>
              <w:rPr>
                <w:rFonts w:ascii="Times New Roman" w:hAnsi="Times New Roman" w:eastAsia="仿宋"/>
                <w:sz w:val="24"/>
                <w:szCs w:val="24"/>
              </w:rPr>
            </w:pPr>
            <w:r>
              <w:rPr>
                <w:rFonts w:ascii="Times New Roman" w:hAnsi="Times New Roman" w:eastAsia="仿宋"/>
                <w:sz w:val="24"/>
                <w:szCs w:val="24"/>
              </w:rPr>
              <w:t>4</w:t>
            </w:r>
          </w:p>
        </w:tc>
        <w:tc>
          <w:tcPr>
            <w:tcW w:w="826" w:type="dxa"/>
            <w:vAlign w:val="center"/>
          </w:tcPr>
          <w:p w14:paraId="30E9BAFC">
            <w:pPr>
              <w:jc w:val="center"/>
              <w:rPr>
                <w:rFonts w:ascii="Times New Roman" w:hAnsi="Times New Roman" w:eastAsia="仿宋"/>
                <w:sz w:val="24"/>
                <w:szCs w:val="24"/>
              </w:rPr>
            </w:pPr>
            <w:r>
              <w:rPr>
                <w:rFonts w:ascii="Times New Roman" w:hAnsi="Times New Roman" w:eastAsia="仿宋"/>
                <w:sz w:val="24"/>
                <w:szCs w:val="24"/>
              </w:rPr>
              <w:t>8</w:t>
            </w:r>
          </w:p>
        </w:tc>
      </w:tr>
      <w:tr w14:paraId="1A97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36B0FB69">
            <w:pPr>
              <w:jc w:val="center"/>
              <w:rPr>
                <w:rFonts w:ascii="Times New Roman" w:hAnsi="Times New Roman" w:eastAsia="仿宋"/>
                <w:color w:val="000000"/>
                <w:sz w:val="24"/>
                <w:szCs w:val="24"/>
              </w:rPr>
            </w:pPr>
            <w:r>
              <w:rPr>
                <w:rFonts w:ascii="Times New Roman" w:hAnsi="Times New Roman" w:eastAsia="仿宋"/>
                <w:color w:val="000000"/>
                <w:sz w:val="24"/>
                <w:szCs w:val="24"/>
              </w:rPr>
              <w:t>13</w:t>
            </w:r>
          </w:p>
        </w:tc>
        <w:tc>
          <w:tcPr>
            <w:tcW w:w="4111" w:type="dxa"/>
            <w:vAlign w:val="center"/>
          </w:tcPr>
          <w:p w14:paraId="043B6031">
            <w:pPr>
              <w:jc w:val="center"/>
              <w:rPr>
                <w:rFonts w:ascii="Times New Roman" w:hAnsi="Times New Roman" w:eastAsia="仿宋"/>
                <w:sz w:val="24"/>
                <w:szCs w:val="24"/>
              </w:rPr>
            </w:pPr>
            <w:r>
              <w:rPr>
                <w:rFonts w:ascii="Times New Roman" w:hAnsi="Times New Roman" w:eastAsia="仿宋"/>
                <w:sz w:val="24"/>
                <w:szCs w:val="24"/>
              </w:rPr>
              <w:t>广州市宜居房地产代理有限公司</w:t>
            </w:r>
          </w:p>
        </w:tc>
        <w:tc>
          <w:tcPr>
            <w:tcW w:w="1134" w:type="dxa"/>
            <w:vAlign w:val="center"/>
          </w:tcPr>
          <w:p w14:paraId="05BFD7EC">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2A7E18AC">
            <w:pPr>
              <w:jc w:val="center"/>
              <w:rPr>
                <w:rFonts w:ascii="Times New Roman" w:hAnsi="Times New Roman" w:eastAsia="仿宋"/>
                <w:sz w:val="24"/>
                <w:szCs w:val="24"/>
              </w:rPr>
            </w:pPr>
            <w:r>
              <w:rPr>
                <w:rFonts w:ascii="Times New Roman" w:hAnsi="Times New Roman" w:eastAsia="仿宋"/>
                <w:sz w:val="24"/>
                <w:szCs w:val="24"/>
              </w:rPr>
              <w:t>6</w:t>
            </w:r>
          </w:p>
        </w:tc>
        <w:tc>
          <w:tcPr>
            <w:tcW w:w="1112" w:type="dxa"/>
            <w:vAlign w:val="center"/>
          </w:tcPr>
          <w:p w14:paraId="5D020102">
            <w:pPr>
              <w:jc w:val="center"/>
              <w:rPr>
                <w:rFonts w:ascii="Times New Roman" w:hAnsi="Times New Roman" w:eastAsia="仿宋"/>
                <w:sz w:val="24"/>
                <w:szCs w:val="24"/>
              </w:rPr>
            </w:pPr>
            <w:r>
              <w:rPr>
                <w:rFonts w:ascii="Times New Roman" w:hAnsi="Times New Roman" w:eastAsia="仿宋"/>
                <w:sz w:val="24"/>
                <w:szCs w:val="24"/>
              </w:rPr>
              <w:t>0</w:t>
            </w:r>
          </w:p>
        </w:tc>
        <w:tc>
          <w:tcPr>
            <w:tcW w:w="826" w:type="dxa"/>
            <w:vAlign w:val="center"/>
          </w:tcPr>
          <w:p w14:paraId="3CD4F4E9">
            <w:pPr>
              <w:jc w:val="center"/>
              <w:rPr>
                <w:rFonts w:ascii="Times New Roman" w:hAnsi="Times New Roman" w:eastAsia="仿宋"/>
                <w:sz w:val="24"/>
                <w:szCs w:val="24"/>
              </w:rPr>
            </w:pPr>
            <w:r>
              <w:rPr>
                <w:rFonts w:ascii="Times New Roman" w:hAnsi="Times New Roman" w:eastAsia="仿宋"/>
                <w:sz w:val="24"/>
                <w:szCs w:val="24"/>
              </w:rPr>
              <w:t>6</w:t>
            </w:r>
          </w:p>
        </w:tc>
      </w:tr>
      <w:tr w14:paraId="1FB6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5C4DCA1C">
            <w:pPr>
              <w:jc w:val="center"/>
              <w:rPr>
                <w:rFonts w:ascii="Times New Roman" w:hAnsi="Times New Roman" w:eastAsia="仿宋"/>
                <w:color w:val="000000"/>
                <w:sz w:val="24"/>
                <w:szCs w:val="24"/>
              </w:rPr>
            </w:pPr>
            <w:r>
              <w:rPr>
                <w:rFonts w:ascii="Times New Roman" w:hAnsi="Times New Roman" w:eastAsia="仿宋"/>
                <w:color w:val="000000"/>
                <w:sz w:val="24"/>
                <w:szCs w:val="24"/>
              </w:rPr>
              <w:t>14</w:t>
            </w:r>
          </w:p>
        </w:tc>
        <w:tc>
          <w:tcPr>
            <w:tcW w:w="4111" w:type="dxa"/>
            <w:vAlign w:val="center"/>
          </w:tcPr>
          <w:p w14:paraId="2C063194">
            <w:pPr>
              <w:jc w:val="center"/>
              <w:rPr>
                <w:rFonts w:ascii="Times New Roman" w:hAnsi="Times New Roman" w:eastAsia="仿宋"/>
                <w:sz w:val="24"/>
                <w:szCs w:val="24"/>
              </w:rPr>
            </w:pPr>
            <w:r>
              <w:rPr>
                <w:rFonts w:ascii="Times New Roman" w:hAnsi="Times New Roman" w:eastAsia="仿宋"/>
                <w:sz w:val="24"/>
                <w:szCs w:val="24"/>
              </w:rPr>
              <w:t>广州市禧汇房地产代理有限公司</w:t>
            </w:r>
          </w:p>
        </w:tc>
        <w:tc>
          <w:tcPr>
            <w:tcW w:w="1134" w:type="dxa"/>
            <w:vAlign w:val="center"/>
          </w:tcPr>
          <w:p w14:paraId="0F89ADCD">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1DBE0401">
            <w:pPr>
              <w:jc w:val="center"/>
              <w:rPr>
                <w:rFonts w:ascii="Times New Roman" w:hAnsi="Times New Roman" w:eastAsia="仿宋"/>
                <w:sz w:val="24"/>
                <w:szCs w:val="24"/>
              </w:rPr>
            </w:pPr>
            <w:r>
              <w:rPr>
                <w:rFonts w:ascii="Times New Roman" w:hAnsi="Times New Roman" w:eastAsia="仿宋"/>
                <w:sz w:val="24"/>
                <w:szCs w:val="24"/>
              </w:rPr>
              <w:t>0</w:t>
            </w:r>
          </w:p>
        </w:tc>
        <w:tc>
          <w:tcPr>
            <w:tcW w:w="1112" w:type="dxa"/>
            <w:vAlign w:val="center"/>
          </w:tcPr>
          <w:p w14:paraId="5CD5BA4E">
            <w:pPr>
              <w:jc w:val="center"/>
              <w:rPr>
                <w:rFonts w:ascii="Times New Roman" w:hAnsi="Times New Roman" w:eastAsia="仿宋"/>
                <w:sz w:val="24"/>
                <w:szCs w:val="24"/>
              </w:rPr>
            </w:pPr>
            <w:r>
              <w:rPr>
                <w:rFonts w:ascii="Times New Roman" w:hAnsi="Times New Roman" w:eastAsia="仿宋"/>
                <w:sz w:val="24"/>
                <w:szCs w:val="24"/>
              </w:rPr>
              <w:t>6</w:t>
            </w:r>
          </w:p>
        </w:tc>
        <w:tc>
          <w:tcPr>
            <w:tcW w:w="826" w:type="dxa"/>
            <w:vAlign w:val="center"/>
          </w:tcPr>
          <w:p w14:paraId="53C783A8">
            <w:pPr>
              <w:jc w:val="center"/>
              <w:rPr>
                <w:rFonts w:ascii="Times New Roman" w:hAnsi="Times New Roman" w:eastAsia="仿宋"/>
                <w:sz w:val="24"/>
                <w:szCs w:val="24"/>
              </w:rPr>
            </w:pPr>
            <w:r>
              <w:rPr>
                <w:rFonts w:ascii="Times New Roman" w:hAnsi="Times New Roman" w:eastAsia="仿宋"/>
                <w:sz w:val="24"/>
                <w:szCs w:val="24"/>
              </w:rPr>
              <w:t>6</w:t>
            </w:r>
          </w:p>
        </w:tc>
      </w:tr>
      <w:tr w14:paraId="2560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3B148220">
            <w:pPr>
              <w:jc w:val="center"/>
              <w:rPr>
                <w:rFonts w:ascii="Times New Roman" w:hAnsi="Times New Roman" w:eastAsia="仿宋"/>
                <w:color w:val="000000"/>
                <w:sz w:val="24"/>
                <w:szCs w:val="24"/>
              </w:rPr>
            </w:pPr>
            <w:r>
              <w:rPr>
                <w:rFonts w:ascii="Times New Roman" w:hAnsi="Times New Roman" w:eastAsia="仿宋"/>
                <w:color w:val="000000"/>
                <w:sz w:val="24"/>
                <w:szCs w:val="24"/>
              </w:rPr>
              <w:t>15</w:t>
            </w:r>
          </w:p>
        </w:tc>
        <w:tc>
          <w:tcPr>
            <w:tcW w:w="4111" w:type="dxa"/>
            <w:vAlign w:val="center"/>
          </w:tcPr>
          <w:p w14:paraId="1CBC86C4">
            <w:pPr>
              <w:jc w:val="center"/>
              <w:rPr>
                <w:rFonts w:ascii="Times New Roman" w:hAnsi="Times New Roman" w:eastAsia="仿宋"/>
                <w:sz w:val="24"/>
                <w:szCs w:val="24"/>
              </w:rPr>
            </w:pPr>
            <w:r>
              <w:rPr>
                <w:rFonts w:ascii="Times New Roman" w:hAnsi="Times New Roman" w:eastAsia="仿宋"/>
                <w:sz w:val="24"/>
                <w:szCs w:val="24"/>
              </w:rPr>
              <w:t>广州瀚信置业有限公司</w:t>
            </w:r>
          </w:p>
        </w:tc>
        <w:tc>
          <w:tcPr>
            <w:tcW w:w="1134" w:type="dxa"/>
            <w:vAlign w:val="center"/>
          </w:tcPr>
          <w:p w14:paraId="452D8932">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78A33516">
            <w:pPr>
              <w:jc w:val="center"/>
              <w:rPr>
                <w:rFonts w:ascii="Times New Roman" w:hAnsi="Times New Roman" w:eastAsia="仿宋"/>
                <w:sz w:val="24"/>
                <w:szCs w:val="24"/>
              </w:rPr>
            </w:pPr>
            <w:r>
              <w:rPr>
                <w:rFonts w:ascii="Times New Roman" w:hAnsi="Times New Roman" w:eastAsia="仿宋"/>
                <w:sz w:val="24"/>
                <w:szCs w:val="24"/>
              </w:rPr>
              <w:t>2</w:t>
            </w:r>
          </w:p>
        </w:tc>
        <w:tc>
          <w:tcPr>
            <w:tcW w:w="1112" w:type="dxa"/>
            <w:vAlign w:val="center"/>
          </w:tcPr>
          <w:p w14:paraId="04E670D1">
            <w:pPr>
              <w:jc w:val="center"/>
              <w:rPr>
                <w:rFonts w:ascii="Times New Roman" w:hAnsi="Times New Roman" w:eastAsia="仿宋"/>
                <w:sz w:val="24"/>
                <w:szCs w:val="24"/>
              </w:rPr>
            </w:pPr>
            <w:r>
              <w:rPr>
                <w:rFonts w:ascii="Times New Roman" w:hAnsi="Times New Roman" w:eastAsia="仿宋"/>
                <w:sz w:val="24"/>
                <w:szCs w:val="24"/>
              </w:rPr>
              <w:t>4</w:t>
            </w:r>
          </w:p>
        </w:tc>
        <w:tc>
          <w:tcPr>
            <w:tcW w:w="826" w:type="dxa"/>
            <w:vAlign w:val="center"/>
          </w:tcPr>
          <w:p w14:paraId="312C30CE">
            <w:pPr>
              <w:jc w:val="center"/>
              <w:rPr>
                <w:rFonts w:ascii="Times New Roman" w:hAnsi="Times New Roman" w:eastAsia="仿宋"/>
                <w:sz w:val="24"/>
                <w:szCs w:val="24"/>
              </w:rPr>
            </w:pPr>
            <w:r>
              <w:rPr>
                <w:rFonts w:ascii="Times New Roman" w:hAnsi="Times New Roman" w:eastAsia="仿宋"/>
                <w:sz w:val="24"/>
                <w:szCs w:val="24"/>
              </w:rPr>
              <w:t>6</w:t>
            </w:r>
          </w:p>
        </w:tc>
      </w:tr>
      <w:tr w14:paraId="62B6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1BB4888E">
            <w:pPr>
              <w:jc w:val="center"/>
              <w:rPr>
                <w:rFonts w:ascii="Times New Roman" w:hAnsi="Times New Roman" w:eastAsia="仿宋"/>
                <w:color w:val="000000"/>
                <w:sz w:val="24"/>
                <w:szCs w:val="24"/>
              </w:rPr>
            </w:pPr>
            <w:r>
              <w:rPr>
                <w:rFonts w:ascii="Times New Roman" w:hAnsi="Times New Roman" w:eastAsia="仿宋"/>
                <w:color w:val="000000"/>
                <w:sz w:val="24"/>
                <w:szCs w:val="24"/>
              </w:rPr>
              <w:t>16</w:t>
            </w:r>
          </w:p>
        </w:tc>
        <w:tc>
          <w:tcPr>
            <w:tcW w:w="4111" w:type="dxa"/>
            <w:vAlign w:val="center"/>
          </w:tcPr>
          <w:p w14:paraId="40FD59D4">
            <w:pPr>
              <w:jc w:val="center"/>
              <w:rPr>
                <w:rFonts w:ascii="Times New Roman" w:hAnsi="Times New Roman" w:eastAsia="仿宋"/>
                <w:sz w:val="24"/>
                <w:szCs w:val="24"/>
              </w:rPr>
            </w:pPr>
            <w:r>
              <w:rPr>
                <w:rFonts w:ascii="Times New Roman" w:hAnsi="Times New Roman" w:eastAsia="仿宋"/>
                <w:sz w:val="24"/>
                <w:szCs w:val="24"/>
              </w:rPr>
              <w:t>广州市富裕房地产中介代理有限公司</w:t>
            </w:r>
          </w:p>
        </w:tc>
        <w:tc>
          <w:tcPr>
            <w:tcW w:w="1134" w:type="dxa"/>
            <w:vAlign w:val="center"/>
          </w:tcPr>
          <w:p w14:paraId="11CD31FA">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vAlign w:val="center"/>
          </w:tcPr>
          <w:p w14:paraId="248C395C">
            <w:pPr>
              <w:jc w:val="center"/>
              <w:rPr>
                <w:rFonts w:ascii="Times New Roman" w:hAnsi="Times New Roman" w:eastAsia="仿宋"/>
                <w:sz w:val="24"/>
                <w:szCs w:val="24"/>
              </w:rPr>
            </w:pPr>
            <w:r>
              <w:rPr>
                <w:rFonts w:ascii="Times New Roman" w:hAnsi="Times New Roman" w:eastAsia="仿宋"/>
                <w:sz w:val="24"/>
                <w:szCs w:val="24"/>
              </w:rPr>
              <w:t>4</w:t>
            </w:r>
          </w:p>
        </w:tc>
        <w:tc>
          <w:tcPr>
            <w:tcW w:w="1112" w:type="dxa"/>
            <w:vAlign w:val="center"/>
          </w:tcPr>
          <w:p w14:paraId="420EE02F">
            <w:pPr>
              <w:jc w:val="center"/>
              <w:rPr>
                <w:rFonts w:ascii="Times New Roman" w:hAnsi="Times New Roman" w:eastAsia="仿宋"/>
                <w:sz w:val="24"/>
                <w:szCs w:val="24"/>
              </w:rPr>
            </w:pPr>
            <w:r>
              <w:rPr>
                <w:rFonts w:ascii="Times New Roman" w:hAnsi="Times New Roman" w:eastAsia="仿宋"/>
                <w:sz w:val="24"/>
                <w:szCs w:val="24"/>
              </w:rPr>
              <w:t>2</w:t>
            </w:r>
          </w:p>
        </w:tc>
        <w:tc>
          <w:tcPr>
            <w:tcW w:w="826" w:type="dxa"/>
            <w:vAlign w:val="center"/>
          </w:tcPr>
          <w:p w14:paraId="79C7C927">
            <w:pPr>
              <w:jc w:val="center"/>
              <w:rPr>
                <w:rFonts w:ascii="Times New Roman" w:hAnsi="Times New Roman" w:eastAsia="仿宋"/>
                <w:sz w:val="24"/>
                <w:szCs w:val="24"/>
              </w:rPr>
            </w:pPr>
            <w:r>
              <w:rPr>
                <w:rFonts w:ascii="Times New Roman" w:hAnsi="Times New Roman" w:eastAsia="仿宋"/>
                <w:sz w:val="24"/>
                <w:szCs w:val="24"/>
              </w:rPr>
              <w:t>6</w:t>
            </w:r>
          </w:p>
        </w:tc>
      </w:tr>
      <w:tr w14:paraId="0D51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0009C5B3">
            <w:pPr>
              <w:jc w:val="center"/>
              <w:rPr>
                <w:rFonts w:ascii="Times New Roman" w:hAnsi="Times New Roman" w:eastAsia="仿宋"/>
                <w:color w:val="000000"/>
                <w:sz w:val="24"/>
                <w:szCs w:val="24"/>
              </w:rPr>
            </w:pPr>
            <w:r>
              <w:rPr>
                <w:rFonts w:ascii="Times New Roman" w:hAnsi="Times New Roman" w:eastAsia="仿宋"/>
                <w:color w:val="000000"/>
                <w:sz w:val="24"/>
                <w:szCs w:val="24"/>
              </w:rPr>
              <w:t>17</w:t>
            </w:r>
          </w:p>
        </w:tc>
        <w:tc>
          <w:tcPr>
            <w:tcW w:w="4111" w:type="dxa"/>
            <w:vAlign w:val="center"/>
          </w:tcPr>
          <w:p w14:paraId="67B0610F">
            <w:pPr>
              <w:jc w:val="center"/>
              <w:rPr>
                <w:rFonts w:ascii="Times New Roman" w:hAnsi="Times New Roman" w:eastAsia="仿宋"/>
                <w:sz w:val="24"/>
                <w:szCs w:val="24"/>
              </w:rPr>
            </w:pPr>
            <w:r>
              <w:rPr>
                <w:rFonts w:ascii="Times New Roman" w:hAnsi="Times New Roman" w:eastAsia="仿宋"/>
                <w:sz w:val="24"/>
                <w:szCs w:val="24"/>
              </w:rPr>
              <w:t>广州市广福居房地产代理有限公司</w:t>
            </w:r>
          </w:p>
        </w:tc>
        <w:tc>
          <w:tcPr>
            <w:tcW w:w="1134" w:type="dxa"/>
            <w:vAlign w:val="center"/>
          </w:tcPr>
          <w:p w14:paraId="043AB8BE">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vAlign w:val="center"/>
          </w:tcPr>
          <w:p w14:paraId="3A779033">
            <w:pPr>
              <w:jc w:val="center"/>
              <w:rPr>
                <w:rFonts w:ascii="Times New Roman" w:hAnsi="Times New Roman" w:eastAsia="仿宋"/>
                <w:sz w:val="24"/>
                <w:szCs w:val="24"/>
              </w:rPr>
            </w:pPr>
            <w:r>
              <w:rPr>
                <w:rFonts w:ascii="Times New Roman" w:hAnsi="Times New Roman" w:eastAsia="仿宋"/>
                <w:sz w:val="24"/>
                <w:szCs w:val="24"/>
              </w:rPr>
              <w:t>5</w:t>
            </w:r>
          </w:p>
        </w:tc>
        <w:tc>
          <w:tcPr>
            <w:tcW w:w="1112" w:type="dxa"/>
            <w:vAlign w:val="center"/>
          </w:tcPr>
          <w:p w14:paraId="380928F6">
            <w:pPr>
              <w:jc w:val="center"/>
              <w:rPr>
                <w:rFonts w:ascii="Times New Roman" w:hAnsi="Times New Roman" w:eastAsia="仿宋"/>
                <w:sz w:val="24"/>
                <w:szCs w:val="24"/>
              </w:rPr>
            </w:pPr>
            <w:r>
              <w:rPr>
                <w:rFonts w:ascii="Times New Roman" w:hAnsi="Times New Roman" w:eastAsia="仿宋"/>
                <w:sz w:val="24"/>
                <w:szCs w:val="24"/>
              </w:rPr>
              <w:t>1</w:t>
            </w:r>
          </w:p>
        </w:tc>
        <w:tc>
          <w:tcPr>
            <w:tcW w:w="826" w:type="dxa"/>
            <w:vAlign w:val="center"/>
          </w:tcPr>
          <w:p w14:paraId="70B3615F">
            <w:pPr>
              <w:jc w:val="center"/>
              <w:rPr>
                <w:rFonts w:ascii="Times New Roman" w:hAnsi="Times New Roman" w:eastAsia="仿宋"/>
                <w:sz w:val="24"/>
                <w:szCs w:val="24"/>
              </w:rPr>
            </w:pPr>
            <w:r>
              <w:rPr>
                <w:rFonts w:ascii="Times New Roman" w:hAnsi="Times New Roman" w:eastAsia="仿宋"/>
                <w:sz w:val="24"/>
                <w:szCs w:val="24"/>
              </w:rPr>
              <w:t>6</w:t>
            </w:r>
          </w:p>
        </w:tc>
      </w:tr>
      <w:tr w14:paraId="02E0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68F6F579">
            <w:pPr>
              <w:jc w:val="center"/>
              <w:rPr>
                <w:rFonts w:ascii="Times New Roman" w:hAnsi="Times New Roman" w:eastAsia="仿宋"/>
                <w:color w:val="000000"/>
                <w:sz w:val="24"/>
                <w:szCs w:val="24"/>
              </w:rPr>
            </w:pPr>
            <w:r>
              <w:rPr>
                <w:rFonts w:ascii="Times New Roman" w:hAnsi="Times New Roman" w:eastAsia="仿宋"/>
                <w:color w:val="000000"/>
                <w:sz w:val="24"/>
                <w:szCs w:val="24"/>
              </w:rPr>
              <w:t>18</w:t>
            </w:r>
          </w:p>
        </w:tc>
        <w:tc>
          <w:tcPr>
            <w:tcW w:w="4111" w:type="dxa"/>
            <w:vAlign w:val="center"/>
          </w:tcPr>
          <w:p w14:paraId="7D280D5D">
            <w:pPr>
              <w:jc w:val="center"/>
              <w:rPr>
                <w:rFonts w:ascii="Times New Roman" w:hAnsi="Times New Roman" w:eastAsia="仿宋"/>
                <w:sz w:val="24"/>
                <w:szCs w:val="24"/>
              </w:rPr>
            </w:pPr>
            <w:r>
              <w:rPr>
                <w:rFonts w:ascii="Times New Roman" w:hAnsi="Times New Roman" w:eastAsia="仿宋"/>
                <w:sz w:val="24"/>
                <w:szCs w:val="24"/>
              </w:rPr>
              <w:t>广州市盈得杰房地产咨询有限公司</w:t>
            </w:r>
          </w:p>
        </w:tc>
        <w:tc>
          <w:tcPr>
            <w:tcW w:w="1134" w:type="dxa"/>
            <w:vAlign w:val="center"/>
          </w:tcPr>
          <w:p w14:paraId="06F1BBB7">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vAlign w:val="center"/>
          </w:tcPr>
          <w:p w14:paraId="42106021">
            <w:pPr>
              <w:jc w:val="center"/>
              <w:rPr>
                <w:rFonts w:ascii="Times New Roman" w:hAnsi="Times New Roman" w:eastAsia="仿宋"/>
                <w:sz w:val="24"/>
                <w:szCs w:val="24"/>
              </w:rPr>
            </w:pPr>
            <w:r>
              <w:rPr>
                <w:rFonts w:ascii="Times New Roman" w:hAnsi="Times New Roman" w:eastAsia="仿宋"/>
                <w:sz w:val="24"/>
                <w:szCs w:val="24"/>
              </w:rPr>
              <w:t>2</w:t>
            </w:r>
          </w:p>
        </w:tc>
        <w:tc>
          <w:tcPr>
            <w:tcW w:w="1112" w:type="dxa"/>
            <w:vAlign w:val="center"/>
          </w:tcPr>
          <w:p w14:paraId="4B55C3E1">
            <w:pPr>
              <w:jc w:val="center"/>
              <w:rPr>
                <w:rFonts w:ascii="Times New Roman" w:hAnsi="Times New Roman" w:eastAsia="仿宋"/>
                <w:sz w:val="24"/>
                <w:szCs w:val="24"/>
              </w:rPr>
            </w:pPr>
            <w:r>
              <w:rPr>
                <w:rFonts w:ascii="Times New Roman" w:hAnsi="Times New Roman" w:eastAsia="仿宋"/>
                <w:sz w:val="24"/>
                <w:szCs w:val="24"/>
              </w:rPr>
              <w:t>4</w:t>
            </w:r>
          </w:p>
        </w:tc>
        <w:tc>
          <w:tcPr>
            <w:tcW w:w="826" w:type="dxa"/>
            <w:vAlign w:val="center"/>
          </w:tcPr>
          <w:p w14:paraId="35C7F681">
            <w:pPr>
              <w:jc w:val="center"/>
              <w:rPr>
                <w:rFonts w:ascii="Times New Roman" w:hAnsi="Times New Roman" w:eastAsia="仿宋"/>
                <w:sz w:val="24"/>
                <w:szCs w:val="24"/>
              </w:rPr>
            </w:pPr>
            <w:r>
              <w:rPr>
                <w:rFonts w:ascii="Times New Roman" w:hAnsi="Times New Roman" w:eastAsia="仿宋"/>
                <w:sz w:val="24"/>
                <w:szCs w:val="24"/>
              </w:rPr>
              <w:t>6</w:t>
            </w:r>
          </w:p>
        </w:tc>
      </w:tr>
      <w:tr w14:paraId="4600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234C1770">
            <w:pPr>
              <w:jc w:val="center"/>
              <w:rPr>
                <w:rFonts w:ascii="Times New Roman" w:hAnsi="Times New Roman" w:eastAsia="仿宋"/>
                <w:color w:val="000000"/>
                <w:sz w:val="24"/>
                <w:szCs w:val="24"/>
              </w:rPr>
            </w:pPr>
            <w:r>
              <w:rPr>
                <w:rFonts w:ascii="Times New Roman" w:hAnsi="Times New Roman" w:eastAsia="仿宋"/>
                <w:color w:val="000000"/>
                <w:sz w:val="24"/>
                <w:szCs w:val="24"/>
              </w:rPr>
              <w:t>19</w:t>
            </w:r>
          </w:p>
        </w:tc>
        <w:tc>
          <w:tcPr>
            <w:tcW w:w="4111" w:type="dxa"/>
            <w:vAlign w:val="center"/>
          </w:tcPr>
          <w:p w14:paraId="1F8CF109">
            <w:pPr>
              <w:jc w:val="center"/>
              <w:rPr>
                <w:rFonts w:ascii="Times New Roman" w:hAnsi="Times New Roman" w:eastAsia="仿宋"/>
                <w:sz w:val="24"/>
                <w:szCs w:val="24"/>
              </w:rPr>
            </w:pPr>
            <w:r>
              <w:rPr>
                <w:rFonts w:ascii="Times New Roman" w:hAnsi="Times New Roman" w:eastAsia="仿宋"/>
                <w:sz w:val="24"/>
                <w:szCs w:val="24"/>
              </w:rPr>
              <w:t>广东德诚行地产集团有限公司</w:t>
            </w:r>
          </w:p>
        </w:tc>
        <w:tc>
          <w:tcPr>
            <w:tcW w:w="1134" w:type="dxa"/>
            <w:vAlign w:val="center"/>
          </w:tcPr>
          <w:p w14:paraId="3FED3C27">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453A6CBB">
            <w:pPr>
              <w:jc w:val="center"/>
              <w:rPr>
                <w:rFonts w:ascii="Times New Roman" w:hAnsi="Times New Roman" w:eastAsia="仿宋"/>
                <w:sz w:val="24"/>
                <w:szCs w:val="24"/>
              </w:rPr>
            </w:pPr>
            <w:r>
              <w:rPr>
                <w:rFonts w:ascii="Times New Roman" w:hAnsi="Times New Roman" w:eastAsia="仿宋"/>
                <w:sz w:val="24"/>
                <w:szCs w:val="24"/>
              </w:rPr>
              <w:t>2</w:t>
            </w:r>
          </w:p>
        </w:tc>
        <w:tc>
          <w:tcPr>
            <w:tcW w:w="1112" w:type="dxa"/>
            <w:vAlign w:val="center"/>
          </w:tcPr>
          <w:p w14:paraId="162216F3">
            <w:pPr>
              <w:jc w:val="center"/>
              <w:rPr>
                <w:rFonts w:ascii="Times New Roman" w:hAnsi="Times New Roman" w:eastAsia="仿宋"/>
                <w:sz w:val="24"/>
                <w:szCs w:val="24"/>
              </w:rPr>
            </w:pPr>
            <w:r>
              <w:rPr>
                <w:rFonts w:ascii="Times New Roman" w:hAnsi="Times New Roman" w:eastAsia="仿宋"/>
                <w:sz w:val="24"/>
                <w:szCs w:val="24"/>
              </w:rPr>
              <w:t>3</w:t>
            </w:r>
          </w:p>
        </w:tc>
        <w:tc>
          <w:tcPr>
            <w:tcW w:w="826" w:type="dxa"/>
            <w:vAlign w:val="center"/>
          </w:tcPr>
          <w:p w14:paraId="18A43124">
            <w:pPr>
              <w:jc w:val="center"/>
              <w:rPr>
                <w:rFonts w:ascii="Times New Roman" w:hAnsi="Times New Roman" w:eastAsia="仿宋"/>
                <w:sz w:val="24"/>
                <w:szCs w:val="24"/>
              </w:rPr>
            </w:pPr>
            <w:r>
              <w:rPr>
                <w:rFonts w:ascii="Times New Roman" w:hAnsi="Times New Roman" w:eastAsia="仿宋"/>
                <w:sz w:val="24"/>
                <w:szCs w:val="24"/>
              </w:rPr>
              <w:t>5</w:t>
            </w:r>
          </w:p>
        </w:tc>
      </w:tr>
      <w:tr w14:paraId="0E4B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216486DB">
            <w:pPr>
              <w:jc w:val="center"/>
              <w:rPr>
                <w:rFonts w:ascii="Times New Roman" w:hAnsi="Times New Roman" w:eastAsia="仿宋"/>
                <w:color w:val="000000"/>
                <w:sz w:val="24"/>
                <w:szCs w:val="24"/>
              </w:rPr>
            </w:pPr>
            <w:r>
              <w:rPr>
                <w:rFonts w:ascii="Times New Roman" w:hAnsi="Times New Roman" w:eastAsia="仿宋"/>
                <w:color w:val="000000"/>
                <w:sz w:val="24"/>
                <w:szCs w:val="24"/>
              </w:rPr>
              <w:t>20</w:t>
            </w:r>
          </w:p>
        </w:tc>
        <w:tc>
          <w:tcPr>
            <w:tcW w:w="4111" w:type="dxa"/>
            <w:vAlign w:val="center"/>
          </w:tcPr>
          <w:p w14:paraId="61D594CB">
            <w:pPr>
              <w:jc w:val="center"/>
              <w:rPr>
                <w:rFonts w:ascii="Times New Roman" w:hAnsi="Times New Roman" w:eastAsia="仿宋"/>
                <w:sz w:val="24"/>
                <w:szCs w:val="24"/>
              </w:rPr>
            </w:pPr>
            <w:r>
              <w:rPr>
                <w:rFonts w:ascii="Times New Roman" w:hAnsi="Times New Roman" w:eastAsia="仿宋"/>
                <w:sz w:val="24"/>
                <w:szCs w:val="24"/>
              </w:rPr>
              <w:t>广州连家地产代理有限公司</w:t>
            </w:r>
          </w:p>
        </w:tc>
        <w:tc>
          <w:tcPr>
            <w:tcW w:w="1134" w:type="dxa"/>
            <w:vAlign w:val="center"/>
          </w:tcPr>
          <w:p w14:paraId="7EBF592C">
            <w:pPr>
              <w:jc w:val="center"/>
              <w:rPr>
                <w:rFonts w:ascii="Times New Roman" w:hAnsi="Times New Roman" w:eastAsia="仿宋"/>
                <w:sz w:val="24"/>
                <w:szCs w:val="24"/>
              </w:rPr>
            </w:pPr>
            <w:r>
              <w:rPr>
                <w:rFonts w:ascii="Times New Roman" w:hAnsi="Times New Roman" w:eastAsia="仿宋"/>
                <w:sz w:val="24"/>
                <w:szCs w:val="24"/>
              </w:rPr>
              <w:t>优质</w:t>
            </w:r>
          </w:p>
        </w:tc>
        <w:tc>
          <w:tcPr>
            <w:tcW w:w="1134" w:type="dxa"/>
            <w:vAlign w:val="center"/>
          </w:tcPr>
          <w:p w14:paraId="3D7E6A8E">
            <w:pPr>
              <w:jc w:val="center"/>
              <w:rPr>
                <w:rFonts w:ascii="Times New Roman" w:hAnsi="Times New Roman" w:eastAsia="仿宋"/>
                <w:sz w:val="24"/>
                <w:szCs w:val="24"/>
              </w:rPr>
            </w:pPr>
            <w:r>
              <w:rPr>
                <w:rFonts w:ascii="Times New Roman" w:hAnsi="Times New Roman" w:eastAsia="仿宋"/>
                <w:sz w:val="24"/>
                <w:szCs w:val="24"/>
              </w:rPr>
              <w:t>5</w:t>
            </w:r>
          </w:p>
        </w:tc>
        <w:tc>
          <w:tcPr>
            <w:tcW w:w="1112" w:type="dxa"/>
            <w:vAlign w:val="center"/>
          </w:tcPr>
          <w:p w14:paraId="5FF71F56">
            <w:pPr>
              <w:jc w:val="center"/>
              <w:rPr>
                <w:rFonts w:ascii="Times New Roman" w:hAnsi="Times New Roman" w:eastAsia="仿宋"/>
                <w:sz w:val="24"/>
                <w:szCs w:val="24"/>
              </w:rPr>
            </w:pPr>
            <w:r>
              <w:rPr>
                <w:rFonts w:ascii="Times New Roman" w:hAnsi="Times New Roman" w:eastAsia="仿宋"/>
                <w:sz w:val="24"/>
                <w:szCs w:val="24"/>
              </w:rPr>
              <w:t>0</w:t>
            </w:r>
          </w:p>
        </w:tc>
        <w:tc>
          <w:tcPr>
            <w:tcW w:w="826" w:type="dxa"/>
            <w:vAlign w:val="center"/>
          </w:tcPr>
          <w:p w14:paraId="62F97873">
            <w:pPr>
              <w:jc w:val="center"/>
              <w:rPr>
                <w:rFonts w:ascii="Times New Roman" w:hAnsi="Times New Roman" w:eastAsia="仿宋"/>
                <w:sz w:val="24"/>
                <w:szCs w:val="24"/>
              </w:rPr>
            </w:pPr>
            <w:r>
              <w:rPr>
                <w:rFonts w:ascii="Times New Roman" w:hAnsi="Times New Roman" w:eastAsia="仿宋"/>
                <w:sz w:val="24"/>
                <w:szCs w:val="24"/>
              </w:rPr>
              <w:t>5</w:t>
            </w:r>
          </w:p>
        </w:tc>
      </w:tr>
      <w:tr w14:paraId="18E3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0324A8B2">
            <w:pPr>
              <w:jc w:val="center"/>
              <w:rPr>
                <w:rFonts w:ascii="Times New Roman" w:hAnsi="Times New Roman" w:eastAsia="仿宋"/>
                <w:color w:val="000000"/>
                <w:sz w:val="24"/>
                <w:szCs w:val="24"/>
              </w:rPr>
            </w:pPr>
            <w:r>
              <w:rPr>
                <w:rFonts w:ascii="Times New Roman" w:hAnsi="Times New Roman" w:eastAsia="仿宋"/>
                <w:color w:val="000000"/>
                <w:sz w:val="24"/>
                <w:szCs w:val="24"/>
              </w:rPr>
              <w:t>21</w:t>
            </w:r>
          </w:p>
        </w:tc>
        <w:tc>
          <w:tcPr>
            <w:tcW w:w="4111" w:type="dxa"/>
            <w:vAlign w:val="center"/>
          </w:tcPr>
          <w:p w14:paraId="4B27E50B">
            <w:pPr>
              <w:jc w:val="center"/>
              <w:rPr>
                <w:rFonts w:ascii="Times New Roman" w:hAnsi="Times New Roman" w:eastAsia="仿宋"/>
                <w:sz w:val="24"/>
                <w:szCs w:val="24"/>
              </w:rPr>
            </w:pPr>
            <w:r>
              <w:rPr>
                <w:rFonts w:ascii="Times New Roman" w:hAnsi="Times New Roman" w:eastAsia="仿宋"/>
                <w:sz w:val="24"/>
                <w:szCs w:val="24"/>
              </w:rPr>
              <w:t>广州市安佳房地产代理有限公司</w:t>
            </w:r>
          </w:p>
        </w:tc>
        <w:tc>
          <w:tcPr>
            <w:tcW w:w="1134" w:type="dxa"/>
            <w:vAlign w:val="center"/>
          </w:tcPr>
          <w:p w14:paraId="6A4C576A">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vAlign w:val="center"/>
          </w:tcPr>
          <w:p w14:paraId="63C59323">
            <w:pPr>
              <w:jc w:val="center"/>
              <w:rPr>
                <w:rFonts w:ascii="Times New Roman" w:hAnsi="Times New Roman" w:eastAsia="仿宋"/>
                <w:sz w:val="24"/>
                <w:szCs w:val="24"/>
              </w:rPr>
            </w:pPr>
            <w:r>
              <w:rPr>
                <w:rFonts w:ascii="Times New Roman" w:hAnsi="Times New Roman" w:eastAsia="仿宋"/>
                <w:sz w:val="24"/>
                <w:szCs w:val="24"/>
              </w:rPr>
              <w:t>3</w:t>
            </w:r>
          </w:p>
        </w:tc>
        <w:tc>
          <w:tcPr>
            <w:tcW w:w="1112" w:type="dxa"/>
            <w:vAlign w:val="center"/>
          </w:tcPr>
          <w:p w14:paraId="4FEA2FBD">
            <w:pPr>
              <w:jc w:val="center"/>
              <w:rPr>
                <w:rFonts w:ascii="Times New Roman" w:hAnsi="Times New Roman" w:eastAsia="仿宋"/>
                <w:sz w:val="24"/>
                <w:szCs w:val="24"/>
              </w:rPr>
            </w:pPr>
            <w:r>
              <w:rPr>
                <w:rFonts w:ascii="Times New Roman" w:hAnsi="Times New Roman" w:eastAsia="仿宋"/>
                <w:sz w:val="24"/>
                <w:szCs w:val="24"/>
              </w:rPr>
              <w:t>2</w:t>
            </w:r>
          </w:p>
        </w:tc>
        <w:tc>
          <w:tcPr>
            <w:tcW w:w="826" w:type="dxa"/>
            <w:vAlign w:val="center"/>
          </w:tcPr>
          <w:p w14:paraId="15D1CE03">
            <w:pPr>
              <w:jc w:val="center"/>
              <w:rPr>
                <w:rFonts w:ascii="Times New Roman" w:hAnsi="Times New Roman" w:eastAsia="仿宋"/>
                <w:sz w:val="24"/>
                <w:szCs w:val="24"/>
              </w:rPr>
            </w:pPr>
            <w:r>
              <w:rPr>
                <w:rFonts w:ascii="Times New Roman" w:hAnsi="Times New Roman" w:eastAsia="仿宋"/>
                <w:sz w:val="24"/>
                <w:szCs w:val="24"/>
              </w:rPr>
              <w:t>5</w:t>
            </w:r>
          </w:p>
        </w:tc>
      </w:tr>
      <w:tr w14:paraId="2B89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9" w:type="dxa"/>
            <w:vAlign w:val="center"/>
          </w:tcPr>
          <w:p w14:paraId="7A6C54AD">
            <w:pPr>
              <w:jc w:val="center"/>
              <w:rPr>
                <w:rFonts w:ascii="Times New Roman" w:hAnsi="Times New Roman" w:eastAsia="仿宋"/>
                <w:color w:val="000000"/>
                <w:sz w:val="24"/>
                <w:szCs w:val="24"/>
              </w:rPr>
            </w:pPr>
            <w:r>
              <w:rPr>
                <w:rFonts w:ascii="Times New Roman" w:hAnsi="Times New Roman" w:eastAsia="仿宋"/>
                <w:color w:val="000000"/>
                <w:sz w:val="24"/>
                <w:szCs w:val="24"/>
              </w:rPr>
              <w:t>22</w:t>
            </w:r>
          </w:p>
        </w:tc>
        <w:tc>
          <w:tcPr>
            <w:tcW w:w="4111" w:type="dxa"/>
            <w:vAlign w:val="center"/>
          </w:tcPr>
          <w:p w14:paraId="2304A2D3">
            <w:pPr>
              <w:jc w:val="center"/>
              <w:rPr>
                <w:rFonts w:ascii="Times New Roman" w:hAnsi="Times New Roman" w:eastAsia="仿宋"/>
                <w:sz w:val="24"/>
                <w:szCs w:val="24"/>
              </w:rPr>
            </w:pPr>
            <w:r>
              <w:rPr>
                <w:rFonts w:ascii="Times New Roman" w:hAnsi="Times New Roman" w:eastAsia="仿宋"/>
                <w:sz w:val="24"/>
                <w:szCs w:val="24"/>
              </w:rPr>
              <w:t>广州市高立房产置业有限公司</w:t>
            </w:r>
          </w:p>
        </w:tc>
        <w:tc>
          <w:tcPr>
            <w:tcW w:w="1134" w:type="dxa"/>
            <w:vAlign w:val="center"/>
          </w:tcPr>
          <w:p w14:paraId="6AC0AA93">
            <w:pPr>
              <w:jc w:val="center"/>
              <w:rPr>
                <w:rFonts w:ascii="Times New Roman" w:hAnsi="Times New Roman" w:eastAsia="仿宋"/>
                <w:sz w:val="24"/>
                <w:szCs w:val="24"/>
              </w:rPr>
            </w:pPr>
            <w:r>
              <w:rPr>
                <w:rFonts w:ascii="Times New Roman" w:hAnsi="Times New Roman" w:eastAsia="仿宋"/>
                <w:sz w:val="24"/>
                <w:szCs w:val="24"/>
              </w:rPr>
              <w:t>良好</w:t>
            </w:r>
          </w:p>
        </w:tc>
        <w:tc>
          <w:tcPr>
            <w:tcW w:w="1134" w:type="dxa"/>
            <w:vAlign w:val="center"/>
          </w:tcPr>
          <w:p w14:paraId="2738FE9D">
            <w:pPr>
              <w:jc w:val="center"/>
              <w:rPr>
                <w:rFonts w:ascii="Times New Roman" w:hAnsi="Times New Roman" w:eastAsia="仿宋"/>
                <w:sz w:val="24"/>
                <w:szCs w:val="24"/>
              </w:rPr>
            </w:pPr>
            <w:r>
              <w:rPr>
                <w:rFonts w:ascii="Times New Roman" w:hAnsi="Times New Roman" w:eastAsia="仿宋"/>
                <w:sz w:val="24"/>
                <w:szCs w:val="24"/>
              </w:rPr>
              <w:t>0</w:t>
            </w:r>
          </w:p>
        </w:tc>
        <w:tc>
          <w:tcPr>
            <w:tcW w:w="1112" w:type="dxa"/>
            <w:vAlign w:val="center"/>
          </w:tcPr>
          <w:p w14:paraId="20412E87">
            <w:pPr>
              <w:jc w:val="center"/>
              <w:rPr>
                <w:rFonts w:ascii="Times New Roman" w:hAnsi="Times New Roman" w:eastAsia="仿宋"/>
                <w:sz w:val="24"/>
                <w:szCs w:val="24"/>
              </w:rPr>
            </w:pPr>
            <w:r>
              <w:rPr>
                <w:rFonts w:ascii="Times New Roman" w:hAnsi="Times New Roman" w:eastAsia="仿宋"/>
                <w:sz w:val="24"/>
                <w:szCs w:val="24"/>
              </w:rPr>
              <w:t>5</w:t>
            </w:r>
          </w:p>
        </w:tc>
        <w:tc>
          <w:tcPr>
            <w:tcW w:w="826" w:type="dxa"/>
            <w:vAlign w:val="center"/>
          </w:tcPr>
          <w:p w14:paraId="5D2EBD40">
            <w:pPr>
              <w:jc w:val="center"/>
              <w:rPr>
                <w:rFonts w:ascii="Times New Roman" w:hAnsi="Times New Roman" w:eastAsia="仿宋"/>
                <w:sz w:val="24"/>
                <w:szCs w:val="24"/>
              </w:rPr>
            </w:pPr>
            <w:r>
              <w:rPr>
                <w:rFonts w:ascii="Times New Roman" w:hAnsi="Times New Roman" w:eastAsia="仿宋"/>
                <w:sz w:val="24"/>
                <w:szCs w:val="24"/>
              </w:rPr>
              <w:t>5</w:t>
            </w:r>
          </w:p>
        </w:tc>
      </w:tr>
      <w:bookmarkEnd w:id="79"/>
      <w:bookmarkEnd w:id="80"/>
    </w:tbl>
    <w:p w14:paraId="5CA68167">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43529FF0">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在各服务品牌旗下的记录在职从业人员信用等级</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优良</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率方面，越</w:t>
      </w:r>
      <w:r>
        <w:rPr>
          <w:rFonts w:hint="eastAsia" w:ascii="Times New Roman" w:hAnsi="Times New Roman" w:eastAsia="仿宋_GB2312"/>
          <w:color w:val="000000" w:themeColor="text1"/>
          <w:kern w:val="0"/>
          <w:sz w:val="32"/>
          <w:szCs w:val="32"/>
          <w14:textFill>
            <w14:solidFill>
              <w14:schemeClr w14:val="tx1"/>
            </w14:solidFill>
          </w14:textFill>
        </w:rPr>
        <w:t>服</w:t>
      </w:r>
      <w:r>
        <w:rPr>
          <w:rFonts w:ascii="Times New Roman" w:hAnsi="Times New Roman" w:eastAsia="仿宋_GB2312"/>
          <w:color w:val="000000" w:themeColor="text1"/>
          <w:kern w:val="0"/>
          <w:sz w:val="32"/>
          <w:szCs w:val="32"/>
          <w14:textFill>
            <w14:solidFill>
              <w14:schemeClr w14:val="tx1"/>
            </w14:solidFill>
          </w14:textFill>
        </w:rPr>
        <w:t>经纪</w:t>
      </w:r>
      <w:r>
        <w:rPr>
          <w:rFonts w:ascii="Times New Roman" w:hAnsi="Times New Roman" w:eastAsia="仿宋_GB2312"/>
          <w:color w:val="000000" w:themeColor="text1"/>
          <w:kern w:val="0"/>
          <w:sz w:val="32"/>
          <w:szCs w:val="32"/>
          <w:lang w:val="zh-TW"/>
          <w14:textFill>
            <w14:solidFill>
              <w14:schemeClr w14:val="tx1"/>
            </w14:solidFill>
          </w14:textFill>
        </w:rPr>
        <w:t>居首位，信用等级为</w:t>
      </w:r>
      <w:r>
        <w:rPr>
          <w:rFonts w:hint="eastAsia" w:ascii="仿宋_GB2312" w:hAnsi="Times New Roman" w:eastAsia="仿宋_GB2312"/>
          <w:color w:val="000000" w:themeColor="text1"/>
          <w:kern w:val="0"/>
          <w:sz w:val="32"/>
          <w:szCs w:val="32"/>
          <w:lang w:val="zh-TW"/>
          <w14:textFill>
            <w14:solidFill>
              <w14:schemeClr w14:val="tx1"/>
            </w14:solidFill>
          </w14:textFill>
        </w:rPr>
        <w:t>“优质”和“良好”</w:t>
      </w:r>
      <w:r>
        <w:rPr>
          <w:rFonts w:ascii="Times New Roman" w:hAnsi="Times New Roman" w:eastAsia="仿宋_GB2312"/>
          <w:color w:val="000000" w:themeColor="text1"/>
          <w:kern w:val="0"/>
          <w:sz w:val="32"/>
          <w:szCs w:val="32"/>
          <w:lang w:val="zh-TW"/>
          <w14:textFill>
            <w14:solidFill>
              <w14:schemeClr w14:val="tx1"/>
            </w14:solidFill>
          </w14:textFill>
        </w:rPr>
        <w:t>的在职人员占比达到56.3%，优居广州、中原地产分列二、三位，占比分别为32.1%和26.6%（见表</w:t>
      </w:r>
      <w:r>
        <w:rPr>
          <w:rFonts w:hint="eastAsia" w:ascii="Times New Roman" w:hAnsi="Times New Roman" w:eastAsia="仿宋_GB2312"/>
          <w:color w:val="000000" w:themeColor="text1"/>
          <w:kern w:val="0"/>
          <w:sz w:val="32"/>
          <w:szCs w:val="32"/>
          <w:lang w:val="zh-TW"/>
          <w14:textFill>
            <w14:solidFill>
              <w14:schemeClr w14:val="tx1"/>
            </w14:solidFill>
          </w14:textFill>
        </w:rPr>
        <w:t>1</w:t>
      </w:r>
      <w:r>
        <w:rPr>
          <w:rFonts w:hint="eastAsia" w:ascii="Times New Roman" w:hAnsi="Times New Roman" w:eastAsia="仿宋_GB2312"/>
          <w:color w:val="000000" w:themeColor="text1"/>
          <w:kern w:val="0"/>
          <w:sz w:val="32"/>
          <w:szCs w:val="32"/>
          <w14:textFill>
            <w14:solidFill>
              <w14:schemeClr w14:val="tx1"/>
            </w14:solidFill>
          </w14:textFill>
        </w:rPr>
        <w:t>1</w:t>
      </w:r>
      <w:r>
        <w:rPr>
          <w:rFonts w:ascii="Times New Roman" w:hAnsi="Times New Roman" w:eastAsia="仿宋_GB2312"/>
          <w:color w:val="000000" w:themeColor="text1"/>
          <w:kern w:val="0"/>
          <w:sz w:val="32"/>
          <w:szCs w:val="32"/>
          <w:lang w:val="zh-TW"/>
          <w14:textFill>
            <w14:solidFill>
              <w14:schemeClr w14:val="tx1"/>
            </w14:solidFill>
          </w14:textFill>
        </w:rPr>
        <w:t>）。</w:t>
      </w:r>
    </w:p>
    <w:p w14:paraId="14BA75F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063F36F9">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表</w:t>
      </w:r>
      <w:r>
        <w:rPr>
          <w:rFonts w:hint="eastAsia" w:ascii="Times New Roman" w:hAnsi="Times New Roman"/>
          <w:color w:val="000000" w:themeColor="text1"/>
          <w:sz w:val="24"/>
          <w14:textFill>
            <w14:solidFill>
              <w14:schemeClr w14:val="tx1"/>
            </w14:solidFill>
          </w14:textFill>
        </w:rPr>
        <w:t>11</w:t>
      </w:r>
      <w:r>
        <w:rPr>
          <w:rFonts w:ascii="Times New Roman" w:hAnsi="Times New Roman"/>
          <w:color w:val="000000" w:themeColor="text1"/>
          <w:sz w:val="24"/>
          <w14:textFill>
            <w14:solidFill>
              <w14:schemeClr w14:val="tx1"/>
            </w14:solidFill>
          </w14:textFill>
        </w:rPr>
        <w:t xml:space="preserve">  2024年旗下在职从业人员信用等级“优良”率前十的服务品牌</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2218"/>
        <w:gridCol w:w="1984"/>
        <w:gridCol w:w="1985"/>
        <w:gridCol w:w="1751"/>
      </w:tblGrid>
      <w:tr w14:paraId="6FBE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 w:type="dxa"/>
            <w:vAlign w:val="center"/>
          </w:tcPr>
          <w:p w14:paraId="7A199539">
            <w:pPr>
              <w:widowControl/>
              <w:jc w:val="center"/>
              <w:textAlignment w:val="center"/>
              <w:rPr>
                <w:rFonts w:ascii="Times New Roman" w:hAnsi="Times New Roman" w:eastAsia="仿宋"/>
                <w:b/>
                <w:color w:val="000000" w:themeColor="text1"/>
                <w:sz w:val="24"/>
                <w:szCs w:val="24"/>
                <w14:textFill>
                  <w14:solidFill>
                    <w14:schemeClr w14:val="tx1"/>
                  </w14:solidFill>
                </w14:textFill>
              </w:rPr>
            </w:pPr>
            <w:r>
              <w:rPr>
                <w:rFonts w:ascii="Times New Roman" w:hAnsi="Times New Roman" w:eastAsia="仿宋"/>
                <w:b/>
                <w:color w:val="000000" w:themeColor="text1"/>
                <w:sz w:val="24"/>
                <w:szCs w:val="24"/>
                <w14:textFill>
                  <w14:solidFill>
                    <w14:schemeClr w14:val="tx1"/>
                  </w14:solidFill>
                </w14:textFill>
              </w:rPr>
              <w:t>序号</w:t>
            </w:r>
          </w:p>
        </w:tc>
        <w:tc>
          <w:tcPr>
            <w:tcW w:w="2218" w:type="dxa"/>
            <w:vAlign w:val="center"/>
          </w:tcPr>
          <w:p w14:paraId="51DEAAD2">
            <w:pPr>
              <w:widowControl/>
              <w:jc w:val="center"/>
              <w:textAlignment w:val="center"/>
              <w:rPr>
                <w:rFonts w:ascii="Times New Roman" w:hAnsi="Times New Roman" w:eastAsia="仿宋"/>
                <w:b/>
                <w:color w:val="000000" w:themeColor="text1"/>
                <w:sz w:val="24"/>
                <w:szCs w:val="24"/>
                <w14:textFill>
                  <w14:solidFill>
                    <w14:schemeClr w14:val="tx1"/>
                  </w14:solidFill>
                </w14:textFill>
              </w:rPr>
            </w:pPr>
            <w:r>
              <w:rPr>
                <w:rFonts w:ascii="Times New Roman" w:hAnsi="Times New Roman" w:eastAsia="仿宋"/>
                <w:b/>
                <w:color w:val="000000" w:themeColor="text1"/>
                <w:sz w:val="24"/>
                <w:szCs w:val="24"/>
                <w14:textFill>
                  <w14:solidFill>
                    <w14:schemeClr w14:val="tx1"/>
                  </w14:solidFill>
                </w14:textFill>
              </w:rPr>
              <w:t>品牌名称</w:t>
            </w:r>
          </w:p>
        </w:tc>
        <w:tc>
          <w:tcPr>
            <w:tcW w:w="1984" w:type="dxa"/>
            <w:vAlign w:val="center"/>
          </w:tcPr>
          <w:p w14:paraId="2F382B6E">
            <w:pPr>
              <w:widowControl/>
              <w:jc w:val="center"/>
              <w:textAlignment w:val="center"/>
              <w:rPr>
                <w:rFonts w:ascii="Times New Roman" w:hAnsi="Times New Roman" w:eastAsia="仿宋"/>
                <w:b/>
                <w:color w:val="000000" w:themeColor="text1"/>
                <w:sz w:val="24"/>
                <w:szCs w:val="24"/>
                <w14:textFill>
                  <w14:solidFill>
                    <w14:schemeClr w14:val="tx1"/>
                  </w14:solidFill>
                </w14:textFill>
              </w:rPr>
            </w:pPr>
            <w:r>
              <w:rPr>
                <w:rFonts w:ascii="Times New Roman" w:hAnsi="Times New Roman" w:eastAsia="仿宋"/>
                <w:b/>
                <w:color w:val="000000" w:themeColor="text1"/>
                <w:sz w:val="24"/>
                <w:szCs w:val="24"/>
                <w14:textFill>
                  <w14:solidFill>
                    <w14:schemeClr w14:val="tx1"/>
                  </w14:solidFill>
                </w14:textFill>
              </w:rPr>
              <w:t>记录在职</w:t>
            </w:r>
          </w:p>
          <w:p w14:paraId="31E2DE96">
            <w:pPr>
              <w:widowControl/>
              <w:jc w:val="center"/>
              <w:textAlignment w:val="center"/>
              <w:rPr>
                <w:rFonts w:ascii="Times New Roman" w:hAnsi="Times New Roman" w:eastAsia="仿宋"/>
                <w:b/>
                <w:color w:val="000000" w:themeColor="text1"/>
                <w:sz w:val="24"/>
                <w:szCs w:val="24"/>
                <w14:textFill>
                  <w14:solidFill>
                    <w14:schemeClr w14:val="tx1"/>
                  </w14:solidFill>
                </w14:textFill>
              </w:rPr>
            </w:pPr>
            <w:r>
              <w:rPr>
                <w:rFonts w:ascii="Times New Roman" w:hAnsi="Times New Roman" w:eastAsia="仿宋"/>
                <w:b/>
                <w:color w:val="000000" w:themeColor="text1"/>
                <w:sz w:val="24"/>
                <w:szCs w:val="24"/>
                <w14:textFill>
                  <w14:solidFill>
                    <w14:schemeClr w14:val="tx1"/>
                  </w14:solidFill>
                </w14:textFill>
              </w:rPr>
              <w:t>人员数量</w:t>
            </w:r>
          </w:p>
        </w:tc>
        <w:tc>
          <w:tcPr>
            <w:tcW w:w="1985" w:type="dxa"/>
            <w:vAlign w:val="center"/>
          </w:tcPr>
          <w:p w14:paraId="1E9326D9">
            <w:pPr>
              <w:widowControl/>
              <w:jc w:val="center"/>
              <w:textAlignment w:val="center"/>
              <w:rPr>
                <w:rFonts w:ascii="Times New Roman" w:hAnsi="Times New Roman" w:eastAsia="仿宋"/>
                <w:b/>
                <w:color w:val="000000" w:themeColor="text1"/>
                <w:sz w:val="24"/>
                <w:szCs w:val="24"/>
                <w14:textFill>
                  <w14:solidFill>
                    <w14:schemeClr w14:val="tx1"/>
                  </w14:solidFill>
                </w14:textFill>
              </w:rPr>
            </w:pPr>
            <w:r>
              <w:rPr>
                <w:rFonts w:ascii="Times New Roman" w:hAnsi="Times New Roman" w:eastAsia="仿宋"/>
                <w:b/>
                <w:color w:val="000000" w:themeColor="text1"/>
                <w:sz w:val="24"/>
                <w:szCs w:val="24"/>
                <w14:textFill>
                  <w14:solidFill>
                    <w14:schemeClr w14:val="tx1"/>
                  </w14:solidFill>
                </w14:textFill>
              </w:rPr>
              <w:t>在职人员</w:t>
            </w:r>
          </w:p>
          <w:p w14:paraId="63671651">
            <w:pPr>
              <w:widowControl/>
              <w:jc w:val="center"/>
              <w:textAlignment w:val="center"/>
              <w:rPr>
                <w:rFonts w:ascii="Times New Roman" w:hAnsi="Times New Roman" w:eastAsia="仿宋"/>
                <w:b/>
                <w:color w:val="000000" w:themeColor="text1"/>
                <w:sz w:val="24"/>
                <w:szCs w:val="24"/>
                <w14:textFill>
                  <w14:solidFill>
                    <w14:schemeClr w14:val="tx1"/>
                  </w14:solidFill>
                </w14:textFill>
              </w:rPr>
            </w:pPr>
            <w:r>
              <w:rPr>
                <w:rFonts w:ascii="仿宋" w:hAnsi="仿宋" w:eastAsia="仿宋"/>
                <w:b/>
                <w:color w:val="000000" w:themeColor="text1"/>
                <w:sz w:val="24"/>
                <w:szCs w:val="24"/>
                <w14:textFill>
                  <w14:solidFill>
                    <w14:schemeClr w14:val="tx1"/>
                  </w14:solidFill>
                </w14:textFill>
              </w:rPr>
              <w:t>“优良”</w:t>
            </w:r>
            <w:r>
              <w:rPr>
                <w:rFonts w:ascii="Times New Roman" w:hAnsi="Times New Roman" w:eastAsia="仿宋"/>
                <w:b/>
                <w:color w:val="000000" w:themeColor="text1"/>
                <w:sz w:val="24"/>
                <w:szCs w:val="24"/>
                <w14:textFill>
                  <w14:solidFill>
                    <w14:schemeClr w14:val="tx1"/>
                  </w14:solidFill>
                </w14:textFill>
              </w:rPr>
              <w:t>数量</w:t>
            </w:r>
          </w:p>
        </w:tc>
        <w:tc>
          <w:tcPr>
            <w:tcW w:w="1751" w:type="dxa"/>
            <w:vAlign w:val="center"/>
          </w:tcPr>
          <w:p w14:paraId="284F20D6">
            <w:pPr>
              <w:widowControl/>
              <w:jc w:val="center"/>
              <w:textAlignment w:val="center"/>
              <w:rPr>
                <w:rFonts w:ascii="Times New Roman" w:hAnsi="Times New Roman" w:eastAsia="仿宋"/>
                <w:b/>
                <w:color w:val="000000" w:themeColor="text1"/>
                <w:sz w:val="24"/>
                <w:szCs w:val="24"/>
                <w14:textFill>
                  <w14:solidFill>
                    <w14:schemeClr w14:val="tx1"/>
                  </w14:solidFill>
                </w14:textFill>
              </w:rPr>
            </w:pPr>
            <w:r>
              <w:rPr>
                <w:rFonts w:ascii="仿宋" w:hAnsi="仿宋" w:eastAsia="仿宋"/>
                <w:b/>
                <w:color w:val="000000" w:themeColor="text1"/>
                <w:sz w:val="24"/>
                <w:szCs w:val="24"/>
                <w14:textFill>
                  <w14:solidFill>
                    <w14:schemeClr w14:val="tx1"/>
                  </w14:solidFill>
                </w14:textFill>
              </w:rPr>
              <w:t>“优良”</w:t>
            </w:r>
            <w:r>
              <w:rPr>
                <w:rFonts w:ascii="Times New Roman" w:hAnsi="Times New Roman" w:eastAsia="仿宋"/>
                <w:b/>
                <w:color w:val="000000" w:themeColor="text1"/>
                <w:sz w:val="24"/>
                <w:szCs w:val="24"/>
                <w14:textFill>
                  <w14:solidFill>
                    <w14:schemeClr w14:val="tx1"/>
                  </w14:solidFill>
                </w14:textFill>
              </w:rPr>
              <w:t>率</w:t>
            </w:r>
          </w:p>
        </w:tc>
      </w:tr>
      <w:tr w14:paraId="59C8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0CA122D4">
            <w:pPr>
              <w:jc w:val="center"/>
              <w:rPr>
                <w:rFonts w:ascii="Times New Roman" w:hAnsi="Times New Roman" w:eastAsia="仿宋"/>
                <w:color w:val="000000"/>
                <w:sz w:val="24"/>
                <w:szCs w:val="24"/>
              </w:rPr>
            </w:pPr>
            <w:r>
              <w:rPr>
                <w:rFonts w:ascii="Times New Roman" w:hAnsi="Times New Roman" w:eastAsia="仿宋"/>
                <w:color w:val="000000"/>
                <w:sz w:val="24"/>
                <w:szCs w:val="24"/>
              </w:rPr>
              <w:t>1</w:t>
            </w:r>
          </w:p>
        </w:tc>
        <w:tc>
          <w:tcPr>
            <w:tcW w:w="2218" w:type="dxa"/>
            <w:vAlign w:val="center"/>
          </w:tcPr>
          <w:p w14:paraId="0B5BEFAA">
            <w:pPr>
              <w:jc w:val="center"/>
              <w:rPr>
                <w:rFonts w:ascii="Times New Roman" w:hAnsi="Times New Roman" w:eastAsia="仿宋"/>
                <w:color w:val="000000"/>
                <w:sz w:val="24"/>
                <w:szCs w:val="24"/>
              </w:rPr>
            </w:pPr>
            <w:r>
              <w:rPr>
                <w:rFonts w:ascii="Times New Roman" w:hAnsi="Times New Roman" w:eastAsia="仿宋"/>
                <w:color w:val="000000"/>
                <w:sz w:val="24"/>
                <w:szCs w:val="24"/>
              </w:rPr>
              <w:t>越</w:t>
            </w:r>
            <w:r>
              <w:rPr>
                <w:rFonts w:hint="eastAsia" w:ascii="Times New Roman" w:hAnsi="Times New Roman" w:eastAsia="仿宋"/>
                <w:color w:val="000000"/>
                <w:sz w:val="24"/>
                <w:szCs w:val="24"/>
              </w:rPr>
              <w:t>服</w:t>
            </w:r>
            <w:r>
              <w:rPr>
                <w:rFonts w:ascii="Times New Roman" w:hAnsi="Times New Roman" w:eastAsia="仿宋"/>
                <w:color w:val="000000"/>
                <w:sz w:val="24"/>
                <w:szCs w:val="24"/>
              </w:rPr>
              <w:t>经纪</w:t>
            </w:r>
          </w:p>
        </w:tc>
        <w:tc>
          <w:tcPr>
            <w:tcW w:w="1984" w:type="dxa"/>
            <w:vAlign w:val="center"/>
          </w:tcPr>
          <w:p w14:paraId="34ACF50D">
            <w:pPr>
              <w:jc w:val="center"/>
              <w:rPr>
                <w:rFonts w:ascii="Times New Roman" w:hAnsi="Times New Roman" w:eastAsia="仿宋"/>
                <w:color w:val="000000"/>
                <w:sz w:val="24"/>
                <w:szCs w:val="24"/>
              </w:rPr>
            </w:pPr>
            <w:r>
              <w:rPr>
                <w:rFonts w:ascii="Times New Roman" w:hAnsi="Times New Roman" w:eastAsia="仿宋"/>
                <w:color w:val="000000"/>
                <w:sz w:val="24"/>
                <w:szCs w:val="24"/>
              </w:rPr>
              <w:t>71</w:t>
            </w:r>
          </w:p>
        </w:tc>
        <w:tc>
          <w:tcPr>
            <w:tcW w:w="1985" w:type="dxa"/>
            <w:vAlign w:val="center"/>
          </w:tcPr>
          <w:p w14:paraId="131F9173">
            <w:pPr>
              <w:jc w:val="center"/>
              <w:rPr>
                <w:rFonts w:ascii="Times New Roman" w:hAnsi="Times New Roman" w:eastAsia="仿宋"/>
                <w:color w:val="000000"/>
                <w:sz w:val="24"/>
                <w:szCs w:val="24"/>
              </w:rPr>
            </w:pPr>
            <w:r>
              <w:rPr>
                <w:rFonts w:ascii="Times New Roman" w:hAnsi="Times New Roman" w:eastAsia="仿宋"/>
                <w:color w:val="000000"/>
                <w:sz w:val="24"/>
                <w:szCs w:val="24"/>
              </w:rPr>
              <w:t>40</w:t>
            </w:r>
          </w:p>
        </w:tc>
        <w:tc>
          <w:tcPr>
            <w:tcW w:w="1751" w:type="dxa"/>
            <w:vAlign w:val="center"/>
          </w:tcPr>
          <w:p w14:paraId="0C7E395D">
            <w:pPr>
              <w:jc w:val="center"/>
              <w:rPr>
                <w:rFonts w:ascii="Times New Roman" w:hAnsi="Times New Roman" w:eastAsia="仿宋"/>
                <w:color w:val="000000"/>
                <w:sz w:val="24"/>
                <w:szCs w:val="24"/>
              </w:rPr>
            </w:pPr>
            <w:r>
              <w:rPr>
                <w:rFonts w:ascii="Times New Roman" w:hAnsi="Times New Roman" w:eastAsia="仿宋"/>
                <w:color w:val="000000"/>
                <w:sz w:val="24"/>
                <w:szCs w:val="24"/>
              </w:rPr>
              <w:t>56.3%</w:t>
            </w:r>
          </w:p>
        </w:tc>
      </w:tr>
      <w:tr w14:paraId="6B66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1A6C6A51">
            <w:pPr>
              <w:jc w:val="center"/>
              <w:rPr>
                <w:rFonts w:ascii="Times New Roman" w:hAnsi="Times New Roman" w:eastAsia="仿宋"/>
                <w:color w:val="000000"/>
                <w:sz w:val="24"/>
                <w:szCs w:val="24"/>
              </w:rPr>
            </w:pPr>
            <w:r>
              <w:rPr>
                <w:rFonts w:ascii="Times New Roman" w:hAnsi="Times New Roman" w:eastAsia="仿宋"/>
                <w:color w:val="000000"/>
                <w:sz w:val="24"/>
                <w:szCs w:val="24"/>
              </w:rPr>
              <w:t>2</w:t>
            </w:r>
          </w:p>
        </w:tc>
        <w:tc>
          <w:tcPr>
            <w:tcW w:w="2218" w:type="dxa"/>
            <w:vAlign w:val="center"/>
          </w:tcPr>
          <w:p w14:paraId="4A313CD4">
            <w:pPr>
              <w:jc w:val="center"/>
              <w:rPr>
                <w:rFonts w:ascii="Times New Roman" w:hAnsi="Times New Roman" w:eastAsia="仿宋"/>
                <w:color w:val="000000"/>
                <w:sz w:val="24"/>
                <w:szCs w:val="24"/>
              </w:rPr>
            </w:pPr>
            <w:r>
              <w:rPr>
                <w:rFonts w:ascii="Times New Roman" w:hAnsi="Times New Roman" w:eastAsia="仿宋"/>
                <w:color w:val="000000"/>
                <w:sz w:val="24"/>
                <w:szCs w:val="24"/>
              </w:rPr>
              <w:t>优居广州</w:t>
            </w:r>
          </w:p>
        </w:tc>
        <w:tc>
          <w:tcPr>
            <w:tcW w:w="1984" w:type="dxa"/>
            <w:vAlign w:val="center"/>
          </w:tcPr>
          <w:p w14:paraId="1EE34B00">
            <w:pPr>
              <w:jc w:val="center"/>
              <w:rPr>
                <w:rFonts w:ascii="Times New Roman" w:hAnsi="Times New Roman" w:eastAsia="仿宋"/>
                <w:color w:val="000000"/>
                <w:sz w:val="24"/>
                <w:szCs w:val="24"/>
              </w:rPr>
            </w:pPr>
            <w:r>
              <w:rPr>
                <w:rFonts w:ascii="Times New Roman" w:hAnsi="Times New Roman" w:eastAsia="仿宋"/>
                <w:color w:val="000000"/>
                <w:sz w:val="24"/>
                <w:szCs w:val="24"/>
              </w:rPr>
              <w:t>224</w:t>
            </w:r>
          </w:p>
        </w:tc>
        <w:tc>
          <w:tcPr>
            <w:tcW w:w="1985" w:type="dxa"/>
            <w:vAlign w:val="center"/>
          </w:tcPr>
          <w:p w14:paraId="092088CB">
            <w:pPr>
              <w:jc w:val="center"/>
              <w:rPr>
                <w:rFonts w:ascii="Times New Roman" w:hAnsi="Times New Roman" w:eastAsia="仿宋"/>
                <w:color w:val="000000"/>
                <w:sz w:val="24"/>
                <w:szCs w:val="24"/>
              </w:rPr>
            </w:pPr>
            <w:r>
              <w:rPr>
                <w:rFonts w:ascii="Times New Roman" w:hAnsi="Times New Roman" w:eastAsia="仿宋"/>
                <w:color w:val="000000"/>
                <w:sz w:val="24"/>
                <w:szCs w:val="24"/>
              </w:rPr>
              <w:t>72</w:t>
            </w:r>
          </w:p>
        </w:tc>
        <w:tc>
          <w:tcPr>
            <w:tcW w:w="1751" w:type="dxa"/>
            <w:vAlign w:val="center"/>
          </w:tcPr>
          <w:p w14:paraId="2AB345EB">
            <w:pPr>
              <w:jc w:val="center"/>
              <w:rPr>
                <w:rFonts w:ascii="Times New Roman" w:hAnsi="Times New Roman" w:eastAsia="仿宋"/>
                <w:color w:val="000000"/>
                <w:sz w:val="24"/>
                <w:szCs w:val="24"/>
              </w:rPr>
            </w:pPr>
            <w:r>
              <w:rPr>
                <w:rFonts w:ascii="Times New Roman" w:hAnsi="Times New Roman" w:eastAsia="仿宋"/>
                <w:color w:val="000000"/>
                <w:sz w:val="24"/>
                <w:szCs w:val="24"/>
              </w:rPr>
              <w:t>32.1%</w:t>
            </w:r>
          </w:p>
        </w:tc>
      </w:tr>
      <w:tr w14:paraId="27AA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4E38D000">
            <w:pPr>
              <w:jc w:val="center"/>
              <w:rPr>
                <w:rFonts w:ascii="Times New Roman" w:hAnsi="Times New Roman" w:eastAsia="仿宋"/>
                <w:color w:val="000000"/>
                <w:sz w:val="24"/>
                <w:szCs w:val="24"/>
              </w:rPr>
            </w:pPr>
            <w:r>
              <w:rPr>
                <w:rFonts w:ascii="Times New Roman" w:hAnsi="Times New Roman" w:eastAsia="仿宋"/>
                <w:color w:val="000000"/>
                <w:sz w:val="24"/>
                <w:szCs w:val="24"/>
              </w:rPr>
              <w:t>3</w:t>
            </w:r>
          </w:p>
        </w:tc>
        <w:tc>
          <w:tcPr>
            <w:tcW w:w="2218" w:type="dxa"/>
            <w:vAlign w:val="center"/>
          </w:tcPr>
          <w:p w14:paraId="0A6962EC">
            <w:pPr>
              <w:jc w:val="center"/>
              <w:rPr>
                <w:rFonts w:ascii="Times New Roman" w:hAnsi="Times New Roman" w:eastAsia="仿宋"/>
                <w:color w:val="000000"/>
                <w:sz w:val="24"/>
                <w:szCs w:val="24"/>
              </w:rPr>
            </w:pPr>
            <w:r>
              <w:rPr>
                <w:rFonts w:ascii="Times New Roman" w:hAnsi="Times New Roman" w:eastAsia="仿宋"/>
                <w:color w:val="000000"/>
                <w:sz w:val="24"/>
                <w:szCs w:val="24"/>
              </w:rPr>
              <w:t>中原地产</w:t>
            </w:r>
          </w:p>
        </w:tc>
        <w:tc>
          <w:tcPr>
            <w:tcW w:w="1984" w:type="dxa"/>
            <w:vAlign w:val="center"/>
          </w:tcPr>
          <w:p w14:paraId="67B17CAA">
            <w:pPr>
              <w:jc w:val="center"/>
              <w:rPr>
                <w:rFonts w:ascii="Times New Roman" w:hAnsi="Times New Roman" w:eastAsia="仿宋"/>
                <w:color w:val="000000"/>
                <w:sz w:val="24"/>
                <w:szCs w:val="24"/>
              </w:rPr>
            </w:pPr>
            <w:r>
              <w:rPr>
                <w:rFonts w:ascii="Times New Roman" w:hAnsi="Times New Roman" w:eastAsia="仿宋"/>
                <w:color w:val="000000"/>
                <w:sz w:val="24"/>
                <w:szCs w:val="24"/>
              </w:rPr>
              <w:t>593</w:t>
            </w:r>
          </w:p>
        </w:tc>
        <w:tc>
          <w:tcPr>
            <w:tcW w:w="1985" w:type="dxa"/>
            <w:vAlign w:val="center"/>
          </w:tcPr>
          <w:p w14:paraId="6B72F1A0">
            <w:pPr>
              <w:jc w:val="center"/>
              <w:rPr>
                <w:rFonts w:ascii="Times New Roman" w:hAnsi="Times New Roman" w:eastAsia="仿宋"/>
                <w:color w:val="000000"/>
                <w:sz w:val="24"/>
                <w:szCs w:val="24"/>
              </w:rPr>
            </w:pPr>
            <w:r>
              <w:rPr>
                <w:rFonts w:ascii="Times New Roman" w:hAnsi="Times New Roman" w:eastAsia="仿宋"/>
                <w:color w:val="000000"/>
                <w:sz w:val="24"/>
                <w:szCs w:val="24"/>
              </w:rPr>
              <w:t>158</w:t>
            </w:r>
          </w:p>
        </w:tc>
        <w:tc>
          <w:tcPr>
            <w:tcW w:w="1751" w:type="dxa"/>
            <w:vAlign w:val="center"/>
          </w:tcPr>
          <w:p w14:paraId="4C36D05C">
            <w:pPr>
              <w:jc w:val="center"/>
              <w:rPr>
                <w:rFonts w:ascii="Times New Roman" w:hAnsi="Times New Roman" w:eastAsia="仿宋"/>
                <w:color w:val="000000"/>
                <w:sz w:val="24"/>
                <w:szCs w:val="24"/>
              </w:rPr>
            </w:pPr>
            <w:r>
              <w:rPr>
                <w:rFonts w:ascii="Times New Roman" w:hAnsi="Times New Roman" w:eastAsia="仿宋"/>
                <w:color w:val="000000"/>
                <w:sz w:val="24"/>
                <w:szCs w:val="24"/>
              </w:rPr>
              <w:t>26.6%</w:t>
            </w:r>
          </w:p>
        </w:tc>
      </w:tr>
      <w:tr w14:paraId="635B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0A59ABAF">
            <w:pPr>
              <w:jc w:val="center"/>
              <w:rPr>
                <w:rFonts w:ascii="Times New Roman" w:hAnsi="Times New Roman" w:eastAsia="仿宋"/>
                <w:color w:val="000000"/>
                <w:sz w:val="24"/>
                <w:szCs w:val="24"/>
              </w:rPr>
            </w:pPr>
            <w:r>
              <w:rPr>
                <w:rFonts w:ascii="Times New Roman" w:hAnsi="Times New Roman" w:eastAsia="仿宋"/>
                <w:color w:val="000000"/>
                <w:sz w:val="24"/>
                <w:szCs w:val="24"/>
              </w:rPr>
              <w:t>4</w:t>
            </w:r>
          </w:p>
        </w:tc>
        <w:tc>
          <w:tcPr>
            <w:tcW w:w="2218" w:type="dxa"/>
            <w:vAlign w:val="center"/>
          </w:tcPr>
          <w:p w14:paraId="0C310579">
            <w:pPr>
              <w:jc w:val="center"/>
              <w:rPr>
                <w:rFonts w:ascii="Times New Roman" w:hAnsi="Times New Roman" w:eastAsia="仿宋"/>
                <w:color w:val="000000"/>
                <w:sz w:val="24"/>
                <w:szCs w:val="24"/>
              </w:rPr>
            </w:pPr>
            <w:r>
              <w:rPr>
                <w:rFonts w:ascii="Times New Roman" w:hAnsi="Times New Roman" w:eastAsia="仿宋"/>
                <w:color w:val="000000"/>
                <w:sz w:val="24"/>
                <w:szCs w:val="24"/>
              </w:rPr>
              <w:t>合富置业</w:t>
            </w:r>
          </w:p>
        </w:tc>
        <w:tc>
          <w:tcPr>
            <w:tcW w:w="1984" w:type="dxa"/>
            <w:vAlign w:val="center"/>
          </w:tcPr>
          <w:p w14:paraId="395DE56D">
            <w:pPr>
              <w:jc w:val="center"/>
              <w:rPr>
                <w:rFonts w:ascii="Times New Roman" w:hAnsi="Times New Roman" w:eastAsia="仿宋"/>
                <w:color w:val="000000"/>
                <w:sz w:val="24"/>
                <w:szCs w:val="24"/>
              </w:rPr>
            </w:pPr>
            <w:r>
              <w:rPr>
                <w:rFonts w:ascii="Times New Roman" w:hAnsi="Times New Roman" w:eastAsia="仿宋"/>
                <w:color w:val="000000"/>
                <w:sz w:val="24"/>
                <w:szCs w:val="24"/>
              </w:rPr>
              <w:t>846</w:t>
            </w:r>
          </w:p>
        </w:tc>
        <w:tc>
          <w:tcPr>
            <w:tcW w:w="1985" w:type="dxa"/>
            <w:vAlign w:val="center"/>
          </w:tcPr>
          <w:p w14:paraId="6B338D45">
            <w:pPr>
              <w:jc w:val="center"/>
              <w:rPr>
                <w:rFonts w:ascii="Times New Roman" w:hAnsi="Times New Roman" w:eastAsia="仿宋"/>
                <w:color w:val="000000"/>
                <w:sz w:val="24"/>
                <w:szCs w:val="24"/>
              </w:rPr>
            </w:pPr>
            <w:r>
              <w:rPr>
                <w:rFonts w:ascii="Times New Roman" w:hAnsi="Times New Roman" w:eastAsia="仿宋"/>
                <w:color w:val="000000"/>
                <w:sz w:val="24"/>
                <w:szCs w:val="24"/>
              </w:rPr>
              <w:t>198</w:t>
            </w:r>
          </w:p>
        </w:tc>
        <w:tc>
          <w:tcPr>
            <w:tcW w:w="1751" w:type="dxa"/>
            <w:vAlign w:val="center"/>
          </w:tcPr>
          <w:p w14:paraId="2F91A801">
            <w:pPr>
              <w:jc w:val="center"/>
              <w:rPr>
                <w:rFonts w:ascii="Times New Roman" w:hAnsi="Times New Roman" w:eastAsia="仿宋"/>
                <w:color w:val="000000"/>
                <w:sz w:val="24"/>
                <w:szCs w:val="24"/>
              </w:rPr>
            </w:pPr>
            <w:r>
              <w:rPr>
                <w:rFonts w:ascii="Times New Roman" w:hAnsi="Times New Roman" w:eastAsia="仿宋"/>
                <w:color w:val="000000"/>
                <w:sz w:val="24"/>
                <w:szCs w:val="24"/>
              </w:rPr>
              <w:t>23.4%</w:t>
            </w:r>
          </w:p>
        </w:tc>
      </w:tr>
      <w:tr w14:paraId="5779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53578A60">
            <w:pPr>
              <w:jc w:val="center"/>
              <w:rPr>
                <w:rFonts w:ascii="Times New Roman" w:hAnsi="Times New Roman" w:eastAsia="仿宋"/>
                <w:color w:val="000000"/>
                <w:sz w:val="24"/>
                <w:szCs w:val="24"/>
              </w:rPr>
            </w:pPr>
            <w:r>
              <w:rPr>
                <w:rFonts w:ascii="Times New Roman" w:hAnsi="Times New Roman" w:eastAsia="仿宋"/>
                <w:color w:val="000000"/>
                <w:sz w:val="24"/>
                <w:szCs w:val="24"/>
              </w:rPr>
              <w:t>5</w:t>
            </w:r>
          </w:p>
        </w:tc>
        <w:tc>
          <w:tcPr>
            <w:tcW w:w="2218" w:type="dxa"/>
            <w:vAlign w:val="center"/>
          </w:tcPr>
          <w:p w14:paraId="48958CD0">
            <w:pPr>
              <w:jc w:val="center"/>
              <w:rPr>
                <w:rFonts w:ascii="Times New Roman" w:hAnsi="Times New Roman" w:eastAsia="仿宋"/>
                <w:color w:val="000000"/>
                <w:sz w:val="24"/>
                <w:szCs w:val="24"/>
              </w:rPr>
            </w:pPr>
            <w:r>
              <w:rPr>
                <w:rFonts w:ascii="Times New Roman" w:hAnsi="Times New Roman" w:eastAsia="仿宋"/>
                <w:color w:val="000000"/>
                <w:sz w:val="24"/>
                <w:szCs w:val="24"/>
              </w:rPr>
              <w:t>乐远</w:t>
            </w:r>
          </w:p>
        </w:tc>
        <w:tc>
          <w:tcPr>
            <w:tcW w:w="1984" w:type="dxa"/>
            <w:vAlign w:val="center"/>
          </w:tcPr>
          <w:p w14:paraId="4BD0E315">
            <w:pPr>
              <w:jc w:val="center"/>
              <w:rPr>
                <w:rFonts w:ascii="Times New Roman" w:hAnsi="Times New Roman" w:eastAsia="仿宋"/>
                <w:color w:val="000000"/>
                <w:sz w:val="24"/>
                <w:szCs w:val="24"/>
              </w:rPr>
            </w:pPr>
            <w:r>
              <w:rPr>
                <w:rFonts w:ascii="Times New Roman" w:hAnsi="Times New Roman" w:eastAsia="仿宋"/>
                <w:color w:val="000000"/>
                <w:sz w:val="24"/>
                <w:szCs w:val="24"/>
              </w:rPr>
              <w:t>414</w:t>
            </w:r>
          </w:p>
        </w:tc>
        <w:tc>
          <w:tcPr>
            <w:tcW w:w="1985" w:type="dxa"/>
            <w:vAlign w:val="center"/>
          </w:tcPr>
          <w:p w14:paraId="6C721FB7">
            <w:pPr>
              <w:jc w:val="center"/>
              <w:rPr>
                <w:rFonts w:ascii="Times New Roman" w:hAnsi="Times New Roman" w:eastAsia="仿宋"/>
                <w:color w:val="000000"/>
                <w:sz w:val="24"/>
                <w:szCs w:val="24"/>
              </w:rPr>
            </w:pPr>
            <w:r>
              <w:rPr>
                <w:rFonts w:ascii="Times New Roman" w:hAnsi="Times New Roman" w:eastAsia="仿宋"/>
                <w:color w:val="000000"/>
                <w:sz w:val="24"/>
                <w:szCs w:val="24"/>
              </w:rPr>
              <w:t>87</w:t>
            </w:r>
          </w:p>
        </w:tc>
        <w:tc>
          <w:tcPr>
            <w:tcW w:w="1751" w:type="dxa"/>
            <w:vAlign w:val="center"/>
          </w:tcPr>
          <w:p w14:paraId="43C0A189">
            <w:pPr>
              <w:jc w:val="center"/>
              <w:rPr>
                <w:rFonts w:ascii="Times New Roman" w:hAnsi="Times New Roman" w:eastAsia="仿宋"/>
                <w:color w:val="000000"/>
                <w:sz w:val="24"/>
                <w:szCs w:val="24"/>
              </w:rPr>
            </w:pPr>
            <w:r>
              <w:rPr>
                <w:rFonts w:ascii="Times New Roman" w:hAnsi="Times New Roman" w:eastAsia="仿宋"/>
                <w:color w:val="000000"/>
                <w:sz w:val="24"/>
                <w:szCs w:val="24"/>
              </w:rPr>
              <w:t>21.0%</w:t>
            </w:r>
          </w:p>
        </w:tc>
      </w:tr>
      <w:tr w14:paraId="0E84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6927857E">
            <w:pPr>
              <w:jc w:val="center"/>
              <w:rPr>
                <w:rFonts w:ascii="Times New Roman" w:hAnsi="Times New Roman" w:eastAsia="仿宋"/>
                <w:color w:val="000000"/>
                <w:sz w:val="24"/>
                <w:szCs w:val="24"/>
              </w:rPr>
            </w:pPr>
            <w:r>
              <w:rPr>
                <w:rFonts w:ascii="Times New Roman" w:hAnsi="Times New Roman" w:eastAsia="仿宋"/>
                <w:color w:val="000000"/>
                <w:sz w:val="24"/>
                <w:szCs w:val="24"/>
              </w:rPr>
              <w:t>6</w:t>
            </w:r>
          </w:p>
        </w:tc>
        <w:tc>
          <w:tcPr>
            <w:tcW w:w="2218" w:type="dxa"/>
            <w:vAlign w:val="center"/>
          </w:tcPr>
          <w:p w14:paraId="2312A6A5">
            <w:pPr>
              <w:jc w:val="center"/>
              <w:rPr>
                <w:rFonts w:ascii="Times New Roman" w:hAnsi="Times New Roman" w:eastAsia="仿宋"/>
                <w:color w:val="000000"/>
                <w:sz w:val="24"/>
                <w:szCs w:val="24"/>
              </w:rPr>
            </w:pPr>
            <w:r>
              <w:rPr>
                <w:rFonts w:ascii="Times New Roman" w:hAnsi="Times New Roman" w:eastAsia="仿宋"/>
                <w:color w:val="000000"/>
                <w:sz w:val="24"/>
                <w:szCs w:val="24"/>
              </w:rPr>
              <w:t>德诚行</w:t>
            </w:r>
          </w:p>
        </w:tc>
        <w:tc>
          <w:tcPr>
            <w:tcW w:w="1984" w:type="dxa"/>
            <w:vAlign w:val="center"/>
          </w:tcPr>
          <w:p w14:paraId="6DF1ABA9">
            <w:pPr>
              <w:jc w:val="center"/>
              <w:rPr>
                <w:rFonts w:ascii="Times New Roman" w:hAnsi="Times New Roman" w:eastAsia="仿宋"/>
                <w:color w:val="000000"/>
                <w:sz w:val="24"/>
                <w:szCs w:val="24"/>
              </w:rPr>
            </w:pPr>
            <w:r>
              <w:rPr>
                <w:rFonts w:ascii="Times New Roman" w:hAnsi="Times New Roman" w:eastAsia="仿宋"/>
                <w:color w:val="000000"/>
                <w:sz w:val="24"/>
                <w:szCs w:val="24"/>
              </w:rPr>
              <w:t>152</w:t>
            </w:r>
          </w:p>
        </w:tc>
        <w:tc>
          <w:tcPr>
            <w:tcW w:w="1985" w:type="dxa"/>
            <w:vAlign w:val="center"/>
          </w:tcPr>
          <w:p w14:paraId="38555C1A">
            <w:pPr>
              <w:jc w:val="center"/>
              <w:rPr>
                <w:rFonts w:ascii="Times New Roman" w:hAnsi="Times New Roman" w:eastAsia="仿宋"/>
                <w:color w:val="000000"/>
                <w:sz w:val="24"/>
                <w:szCs w:val="24"/>
              </w:rPr>
            </w:pPr>
            <w:r>
              <w:rPr>
                <w:rFonts w:ascii="Times New Roman" w:hAnsi="Times New Roman" w:eastAsia="仿宋"/>
                <w:color w:val="000000"/>
                <w:sz w:val="24"/>
                <w:szCs w:val="24"/>
              </w:rPr>
              <w:t>31</w:t>
            </w:r>
          </w:p>
        </w:tc>
        <w:tc>
          <w:tcPr>
            <w:tcW w:w="1751" w:type="dxa"/>
            <w:vAlign w:val="center"/>
          </w:tcPr>
          <w:p w14:paraId="3BE07ABD">
            <w:pPr>
              <w:jc w:val="center"/>
              <w:rPr>
                <w:rFonts w:ascii="Times New Roman" w:hAnsi="Times New Roman" w:eastAsia="仿宋"/>
                <w:color w:val="000000"/>
                <w:sz w:val="24"/>
                <w:szCs w:val="24"/>
              </w:rPr>
            </w:pPr>
            <w:r>
              <w:rPr>
                <w:rFonts w:ascii="Times New Roman" w:hAnsi="Times New Roman" w:eastAsia="仿宋"/>
                <w:color w:val="000000"/>
                <w:sz w:val="24"/>
                <w:szCs w:val="24"/>
              </w:rPr>
              <w:t>20.4%</w:t>
            </w:r>
          </w:p>
        </w:tc>
      </w:tr>
      <w:tr w14:paraId="3D3B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63DD8551">
            <w:pPr>
              <w:jc w:val="center"/>
              <w:rPr>
                <w:rFonts w:ascii="Times New Roman" w:hAnsi="Times New Roman" w:eastAsia="仿宋"/>
                <w:color w:val="000000"/>
                <w:sz w:val="24"/>
                <w:szCs w:val="24"/>
              </w:rPr>
            </w:pPr>
            <w:r>
              <w:rPr>
                <w:rFonts w:ascii="Times New Roman" w:hAnsi="Times New Roman" w:eastAsia="仿宋"/>
                <w:color w:val="000000"/>
                <w:sz w:val="24"/>
                <w:szCs w:val="24"/>
              </w:rPr>
              <w:t>7</w:t>
            </w:r>
          </w:p>
        </w:tc>
        <w:tc>
          <w:tcPr>
            <w:tcW w:w="2218" w:type="dxa"/>
            <w:vAlign w:val="center"/>
          </w:tcPr>
          <w:p w14:paraId="6FF74E7C">
            <w:pPr>
              <w:jc w:val="center"/>
              <w:rPr>
                <w:rFonts w:ascii="Times New Roman" w:hAnsi="Times New Roman" w:eastAsia="仿宋"/>
                <w:color w:val="000000"/>
                <w:sz w:val="24"/>
                <w:szCs w:val="24"/>
              </w:rPr>
            </w:pPr>
            <w:r>
              <w:rPr>
                <w:rFonts w:ascii="Times New Roman" w:hAnsi="Times New Roman" w:eastAsia="仿宋"/>
                <w:color w:val="000000"/>
                <w:sz w:val="24"/>
                <w:szCs w:val="24"/>
              </w:rPr>
              <w:t>糯家</w:t>
            </w:r>
          </w:p>
        </w:tc>
        <w:tc>
          <w:tcPr>
            <w:tcW w:w="1984" w:type="dxa"/>
            <w:vAlign w:val="center"/>
          </w:tcPr>
          <w:p w14:paraId="7461CD78">
            <w:pPr>
              <w:jc w:val="center"/>
              <w:rPr>
                <w:rFonts w:ascii="Times New Roman" w:hAnsi="Times New Roman" w:eastAsia="仿宋"/>
                <w:color w:val="000000"/>
                <w:sz w:val="24"/>
                <w:szCs w:val="24"/>
              </w:rPr>
            </w:pPr>
            <w:r>
              <w:rPr>
                <w:rFonts w:ascii="Times New Roman" w:hAnsi="Times New Roman" w:eastAsia="仿宋"/>
                <w:color w:val="000000"/>
                <w:sz w:val="24"/>
                <w:szCs w:val="24"/>
              </w:rPr>
              <w:t>299</w:t>
            </w:r>
          </w:p>
        </w:tc>
        <w:tc>
          <w:tcPr>
            <w:tcW w:w="1985" w:type="dxa"/>
            <w:vAlign w:val="center"/>
          </w:tcPr>
          <w:p w14:paraId="13368215">
            <w:pPr>
              <w:jc w:val="center"/>
              <w:rPr>
                <w:rFonts w:ascii="Times New Roman" w:hAnsi="Times New Roman" w:eastAsia="仿宋"/>
                <w:color w:val="000000"/>
                <w:sz w:val="24"/>
                <w:szCs w:val="24"/>
              </w:rPr>
            </w:pPr>
            <w:r>
              <w:rPr>
                <w:rFonts w:ascii="Times New Roman" w:hAnsi="Times New Roman" w:eastAsia="仿宋"/>
                <w:color w:val="000000"/>
                <w:sz w:val="24"/>
                <w:szCs w:val="24"/>
              </w:rPr>
              <w:t>54</w:t>
            </w:r>
          </w:p>
        </w:tc>
        <w:tc>
          <w:tcPr>
            <w:tcW w:w="1751" w:type="dxa"/>
            <w:vAlign w:val="center"/>
          </w:tcPr>
          <w:p w14:paraId="0C6B1159">
            <w:pPr>
              <w:jc w:val="center"/>
              <w:rPr>
                <w:rFonts w:ascii="Times New Roman" w:hAnsi="Times New Roman" w:eastAsia="仿宋"/>
                <w:color w:val="000000"/>
                <w:sz w:val="24"/>
                <w:szCs w:val="24"/>
              </w:rPr>
            </w:pPr>
            <w:r>
              <w:rPr>
                <w:rFonts w:ascii="Times New Roman" w:hAnsi="Times New Roman" w:eastAsia="仿宋"/>
                <w:color w:val="000000"/>
                <w:sz w:val="24"/>
                <w:szCs w:val="24"/>
              </w:rPr>
              <w:t>18.1%</w:t>
            </w:r>
          </w:p>
        </w:tc>
      </w:tr>
      <w:tr w14:paraId="0C0D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39FDD1D9">
            <w:pPr>
              <w:jc w:val="center"/>
              <w:rPr>
                <w:rFonts w:ascii="Times New Roman" w:hAnsi="Times New Roman" w:eastAsia="仿宋"/>
                <w:color w:val="000000"/>
                <w:sz w:val="24"/>
                <w:szCs w:val="24"/>
              </w:rPr>
            </w:pPr>
            <w:r>
              <w:rPr>
                <w:rFonts w:ascii="Times New Roman" w:hAnsi="Times New Roman" w:eastAsia="仿宋"/>
                <w:color w:val="000000"/>
                <w:sz w:val="24"/>
                <w:szCs w:val="24"/>
              </w:rPr>
              <w:t>8</w:t>
            </w:r>
          </w:p>
        </w:tc>
        <w:tc>
          <w:tcPr>
            <w:tcW w:w="2218" w:type="dxa"/>
            <w:vAlign w:val="center"/>
          </w:tcPr>
          <w:p w14:paraId="49139256">
            <w:pPr>
              <w:jc w:val="center"/>
              <w:rPr>
                <w:rFonts w:ascii="Times New Roman" w:hAnsi="Times New Roman" w:eastAsia="仿宋"/>
                <w:color w:val="000000"/>
                <w:sz w:val="24"/>
                <w:szCs w:val="24"/>
              </w:rPr>
            </w:pPr>
            <w:r>
              <w:rPr>
                <w:rFonts w:ascii="Times New Roman" w:hAnsi="Times New Roman" w:eastAsia="仿宋"/>
                <w:color w:val="000000"/>
                <w:sz w:val="24"/>
                <w:szCs w:val="24"/>
              </w:rPr>
              <w:t>住商不动产</w:t>
            </w:r>
          </w:p>
        </w:tc>
        <w:tc>
          <w:tcPr>
            <w:tcW w:w="1984" w:type="dxa"/>
            <w:vAlign w:val="center"/>
          </w:tcPr>
          <w:p w14:paraId="7BAEA4B6">
            <w:pPr>
              <w:jc w:val="center"/>
              <w:rPr>
                <w:rFonts w:ascii="Times New Roman" w:hAnsi="Times New Roman" w:eastAsia="仿宋"/>
                <w:color w:val="000000"/>
                <w:sz w:val="24"/>
                <w:szCs w:val="24"/>
              </w:rPr>
            </w:pPr>
            <w:r>
              <w:rPr>
                <w:rFonts w:ascii="Times New Roman" w:hAnsi="Times New Roman" w:eastAsia="仿宋"/>
                <w:color w:val="000000"/>
                <w:sz w:val="24"/>
                <w:szCs w:val="24"/>
              </w:rPr>
              <w:t>1085</w:t>
            </w:r>
          </w:p>
        </w:tc>
        <w:tc>
          <w:tcPr>
            <w:tcW w:w="1985" w:type="dxa"/>
            <w:vAlign w:val="center"/>
          </w:tcPr>
          <w:p w14:paraId="04922D8F">
            <w:pPr>
              <w:jc w:val="center"/>
              <w:rPr>
                <w:rFonts w:ascii="Times New Roman" w:hAnsi="Times New Roman" w:eastAsia="仿宋"/>
                <w:color w:val="000000"/>
                <w:sz w:val="24"/>
                <w:szCs w:val="24"/>
              </w:rPr>
            </w:pPr>
            <w:r>
              <w:rPr>
                <w:rFonts w:ascii="Times New Roman" w:hAnsi="Times New Roman" w:eastAsia="仿宋"/>
                <w:color w:val="000000"/>
                <w:sz w:val="24"/>
                <w:szCs w:val="24"/>
              </w:rPr>
              <w:t>190</w:t>
            </w:r>
          </w:p>
        </w:tc>
        <w:tc>
          <w:tcPr>
            <w:tcW w:w="1751" w:type="dxa"/>
            <w:vAlign w:val="center"/>
          </w:tcPr>
          <w:p w14:paraId="0B68BDD1">
            <w:pPr>
              <w:jc w:val="center"/>
              <w:rPr>
                <w:rFonts w:ascii="Times New Roman" w:hAnsi="Times New Roman" w:eastAsia="仿宋"/>
                <w:color w:val="000000"/>
                <w:sz w:val="24"/>
                <w:szCs w:val="24"/>
              </w:rPr>
            </w:pPr>
            <w:r>
              <w:rPr>
                <w:rFonts w:ascii="Times New Roman" w:hAnsi="Times New Roman" w:eastAsia="仿宋"/>
                <w:color w:val="000000"/>
                <w:sz w:val="24"/>
                <w:szCs w:val="24"/>
              </w:rPr>
              <w:t>17.5%</w:t>
            </w:r>
          </w:p>
        </w:tc>
      </w:tr>
      <w:tr w14:paraId="3968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5AC1707F">
            <w:pPr>
              <w:jc w:val="center"/>
              <w:rPr>
                <w:rFonts w:ascii="Times New Roman" w:hAnsi="Times New Roman" w:eastAsia="仿宋"/>
                <w:color w:val="000000"/>
                <w:sz w:val="24"/>
                <w:szCs w:val="24"/>
              </w:rPr>
            </w:pPr>
            <w:r>
              <w:rPr>
                <w:rFonts w:ascii="Times New Roman" w:hAnsi="Times New Roman" w:eastAsia="仿宋"/>
                <w:color w:val="000000"/>
                <w:sz w:val="24"/>
                <w:szCs w:val="24"/>
              </w:rPr>
              <w:t>9</w:t>
            </w:r>
          </w:p>
        </w:tc>
        <w:tc>
          <w:tcPr>
            <w:tcW w:w="2218" w:type="dxa"/>
            <w:vAlign w:val="center"/>
          </w:tcPr>
          <w:p w14:paraId="08A6D51B">
            <w:pPr>
              <w:jc w:val="center"/>
              <w:rPr>
                <w:rFonts w:ascii="Times New Roman" w:hAnsi="Times New Roman" w:eastAsia="仿宋"/>
                <w:color w:val="000000"/>
                <w:sz w:val="24"/>
                <w:szCs w:val="24"/>
              </w:rPr>
            </w:pPr>
            <w:r>
              <w:rPr>
                <w:rFonts w:ascii="Times New Roman" w:hAnsi="Times New Roman" w:eastAsia="仿宋"/>
                <w:color w:val="000000"/>
                <w:sz w:val="24"/>
                <w:szCs w:val="24"/>
              </w:rPr>
              <w:t>德佑</w:t>
            </w:r>
          </w:p>
        </w:tc>
        <w:tc>
          <w:tcPr>
            <w:tcW w:w="1984" w:type="dxa"/>
            <w:vAlign w:val="center"/>
          </w:tcPr>
          <w:p w14:paraId="5DC1A158">
            <w:pPr>
              <w:jc w:val="center"/>
              <w:rPr>
                <w:rFonts w:ascii="Times New Roman" w:hAnsi="Times New Roman" w:eastAsia="仿宋"/>
                <w:color w:val="000000"/>
                <w:sz w:val="24"/>
                <w:szCs w:val="24"/>
              </w:rPr>
            </w:pPr>
            <w:r>
              <w:rPr>
                <w:rFonts w:ascii="Times New Roman" w:hAnsi="Times New Roman" w:eastAsia="仿宋"/>
                <w:color w:val="000000"/>
                <w:sz w:val="24"/>
                <w:szCs w:val="24"/>
              </w:rPr>
              <w:t>3591</w:t>
            </w:r>
          </w:p>
        </w:tc>
        <w:tc>
          <w:tcPr>
            <w:tcW w:w="1985" w:type="dxa"/>
            <w:vAlign w:val="center"/>
          </w:tcPr>
          <w:p w14:paraId="7E981508">
            <w:pPr>
              <w:jc w:val="center"/>
              <w:rPr>
                <w:rFonts w:ascii="Times New Roman" w:hAnsi="Times New Roman" w:eastAsia="仿宋"/>
                <w:color w:val="000000"/>
                <w:sz w:val="24"/>
                <w:szCs w:val="24"/>
              </w:rPr>
            </w:pPr>
            <w:r>
              <w:rPr>
                <w:rFonts w:ascii="Times New Roman" w:hAnsi="Times New Roman" w:eastAsia="仿宋"/>
                <w:color w:val="000000"/>
                <w:sz w:val="24"/>
                <w:szCs w:val="24"/>
              </w:rPr>
              <w:t>555</w:t>
            </w:r>
          </w:p>
        </w:tc>
        <w:tc>
          <w:tcPr>
            <w:tcW w:w="1751" w:type="dxa"/>
            <w:vAlign w:val="center"/>
          </w:tcPr>
          <w:p w14:paraId="664A2690">
            <w:pPr>
              <w:jc w:val="center"/>
              <w:rPr>
                <w:rFonts w:ascii="Times New Roman" w:hAnsi="Times New Roman" w:eastAsia="仿宋"/>
                <w:color w:val="000000"/>
                <w:sz w:val="24"/>
                <w:szCs w:val="24"/>
              </w:rPr>
            </w:pPr>
            <w:r>
              <w:rPr>
                <w:rFonts w:ascii="Times New Roman" w:hAnsi="Times New Roman" w:eastAsia="仿宋"/>
                <w:color w:val="000000"/>
                <w:sz w:val="24"/>
                <w:szCs w:val="24"/>
              </w:rPr>
              <w:t>15.5%</w:t>
            </w:r>
          </w:p>
        </w:tc>
      </w:tr>
      <w:tr w14:paraId="5C91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5" w:type="dxa"/>
            <w:vAlign w:val="center"/>
          </w:tcPr>
          <w:p w14:paraId="32A1A7D9">
            <w:pPr>
              <w:jc w:val="center"/>
              <w:rPr>
                <w:rFonts w:ascii="Times New Roman" w:hAnsi="Times New Roman" w:eastAsia="仿宋"/>
                <w:color w:val="000000"/>
                <w:sz w:val="24"/>
                <w:szCs w:val="24"/>
              </w:rPr>
            </w:pPr>
            <w:r>
              <w:rPr>
                <w:rFonts w:ascii="Times New Roman" w:hAnsi="Times New Roman" w:eastAsia="仿宋"/>
                <w:color w:val="000000"/>
                <w:sz w:val="24"/>
                <w:szCs w:val="24"/>
              </w:rPr>
              <w:t>10</w:t>
            </w:r>
          </w:p>
        </w:tc>
        <w:tc>
          <w:tcPr>
            <w:tcW w:w="2218" w:type="dxa"/>
            <w:vAlign w:val="center"/>
          </w:tcPr>
          <w:p w14:paraId="5886B620">
            <w:pPr>
              <w:jc w:val="center"/>
              <w:rPr>
                <w:rFonts w:ascii="Times New Roman" w:hAnsi="Times New Roman" w:eastAsia="仿宋"/>
                <w:color w:val="000000"/>
                <w:sz w:val="24"/>
                <w:szCs w:val="24"/>
              </w:rPr>
            </w:pPr>
            <w:r>
              <w:rPr>
                <w:rFonts w:ascii="Times New Roman" w:hAnsi="Times New Roman" w:eastAsia="仿宋"/>
                <w:color w:val="000000"/>
                <w:sz w:val="24"/>
                <w:szCs w:val="24"/>
              </w:rPr>
              <w:t>置家</w:t>
            </w:r>
          </w:p>
        </w:tc>
        <w:tc>
          <w:tcPr>
            <w:tcW w:w="1984" w:type="dxa"/>
            <w:vAlign w:val="center"/>
          </w:tcPr>
          <w:p w14:paraId="28AE77DB">
            <w:pPr>
              <w:jc w:val="center"/>
              <w:rPr>
                <w:rFonts w:ascii="Times New Roman" w:hAnsi="Times New Roman" w:eastAsia="仿宋"/>
                <w:color w:val="000000"/>
                <w:sz w:val="24"/>
                <w:szCs w:val="24"/>
              </w:rPr>
            </w:pPr>
            <w:r>
              <w:rPr>
                <w:rFonts w:ascii="Times New Roman" w:hAnsi="Times New Roman" w:eastAsia="仿宋"/>
                <w:color w:val="000000"/>
                <w:sz w:val="24"/>
                <w:szCs w:val="24"/>
              </w:rPr>
              <w:t>1019</w:t>
            </w:r>
          </w:p>
        </w:tc>
        <w:tc>
          <w:tcPr>
            <w:tcW w:w="1985" w:type="dxa"/>
            <w:vAlign w:val="center"/>
          </w:tcPr>
          <w:p w14:paraId="357DD998">
            <w:pPr>
              <w:jc w:val="center"/>
              <w:rPr>
                <w:rFonts w:ascii="Times New Roman" w:hAnsi="Times New Roman" w:eastAsia="仿宋"/>
                <w:color w:val="000000"/>
                <w:sz w:val="24"/>
                <w:szCs w:val="24"/>
              </w:rPr>
            </w:pPr>
            <w:r>
              <w:rPr>
                <w:rFonts w:ascii="Times New Roman" w:hAnsi="Times New Roman" w:eastAsia="仿宋"/>
                <w:color w:val="000000"/>
                <w:sz w:val="24"/>
                <w:szCs w:val="24"/>
              </w:rPr>
              <w:t>143</w:t>
            </w:r>
          </w:p>
        </w:tc>
        <w:tc>
          <w:tcPr>
            <w:tcW w:w="1751" w:type="dxa"/>
            <w:vAlign w:val="center"/>
          </w:tcPr>
          <w:p w14:paraId="72216A3D">
            <w:pPr>
              <w:jc w:val="center"/>
              <w:rPr>
                <w:rFonts w:ascii="Times New Roman" w:hAnsi="Times New Roman" w:eastAsia="仿宋"/>
                <w:color w:val="000000"/>
                <w:sz w:val="24"/>
                <w:szCs w:val="24"/>
              </w:rPr>
            </w:pPr>
            <w:r>
              <w:rPr>
                <w:rFonts w:ascii="Times New Roman" w:hAnsi="Times New Roman" w:eastAsia="仿宋"/>
                <w:color w:val="000000"/>
                <w:sz w:val="24"/>
                <w:szCs w:val="24"/>
              </w:rPr>
              <w:t>14.0%</w:t>
            </w:r>
          </w:p>
        </w:tc>
      </w:tr>
    </w:tbl>
    <w:p w14:paraId="23D04797">
      <w:pPr>
        <w:spacing w:line="360" w:lineRule="auto"/>
        <w:jc w:val="right"/>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数据来源：广州市房地产中介协会</w:t>
      </w:r>
    </w:p>
    <w:p w14:paraId="3264AF87">
      <w:pPr>
        <w:pStyle w:val="2"/>
        <w:pageBreakBefore/>
        <w:spacing w:before="120" w:beforeLines="50" w:after="120" w:afterLines="50" w:line="360" w:lineRule="auto"/>
        <w:ind w:firstLine="643" w:firstLineChars="200"/>
        <w:rPr>
          <w:rFonts w:ascii="Times New Roman" w:hAnsi="Times New Roman" w:eastAsia="黑体"/>
          <w:bCs w:val="0"/>
          <w:color w:val="000000" w:themeColor="text1"/>
          <w:sz w:val="32"/>
          <w:szCs w:val="24"/>
          <w14:textFill>
            <w14:solidFill>
              <w14:schemeClr w14:val="tx1"/>
            </w14:solidFill>
          </w14:textFill>
        </w:rPr>
      </w:pPr>
      <w:bookmarkStart w:id="81" w:name="_Toc192845453"/>
      <w:bookmarkStart w:id="82" w:name="_Toc98168325"/>
      <w:r>
        <w:rPr>
          <w:rFonts w:ascii="Times New Roman" w:hAnsi="Times New Roman" w:eastAsia="黑体"/>
          <w:bCs w:val="0"/>
          <w:color w:val="000000" w:themeColor="text1"/>
          <w:sz w:val="32"/>
          <w:szCs w:val="24"/>
          <w14:textFill>
            <w14:solidFill>
              <w14:schemeClr w14:val="tx1"/>
            </w14:solidFill>
          </w14:textFill>
        </w:rPr>
        <w:t>八、消费者投诉情况</w:t>
      </w:r>
      <w:bookmarkEnd w:id="81"/>
      <w:bookmarkEnd w:id="82"/>
    </w:p>
    <w:p w14:paraId="3D93885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bookmarkStart w:id="83" w:name="OLE_LINK1"/>
      <w:bookmarkStart w:id="84" w:name="OLE_LINK2"/>
      <w:bookmarkStart w:id="85" w:name="OLE_LINK3"/>
      <w:bookmarkStart w:id="86" w:name="OLE_LINK4"/>
      <w:r>
        <w:rPr>
          <w:rFonts w:ascii="Times New Roman" w:hAnsi="Times New Roman" w:eastAsia="仿宋_GB2312"/>
          <w:color w:val="000000" w:themeColor="text1"/>
          <w:kern w:val="0"/>
          <w:sz w:val="32"/>
          <w:szCs w:val="32"/>
          <w:lang w:val="zh-TW"/>
          <w14:textFill>
            <w14:solidFill>
              <w14:schemeClr w14:val="tx1"/>
            </w14:solidFill>
          </w14:textFill>
        </w:rPr>
        <w:t>2024年，全市住建系统受理有关房地产中介服务的</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12345</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热线及信访投诉案件共计1352宗（含174宗二次投诉</w:t>
      </w:r>
      <w:r>
        <w:rPr>
          <w:rFonts w:ascii="Times New Roman" w:hAnsi="Times New Roman" w:eastAsia="仿宋_GB2312"/>
          <w:color w:val="000000" w:themeColor="text1"/>
          <w:kern w:val="0"/>
          <w:sz w:val="32"/>
          <w:szCs w:val="32"/>
          <w:vertAlign w:val="superscript"/>
          <w:lang w:val="zh-TW"/>
          <w14:textFill>
            <w14:solidFill>
              <w14:schemeClr w14:val="tx1"/>
            </w14:solidFill>
          </w14:textFill>
        </w:rPr>
        <w:footnoteReference w:id="13"/>
      </w:r>
      <w:r>
        <w:rPr>
          <w:rFonts w:ascii="Times New Roman" w:hAnsi="Times New Roman" w:eastAsia="仿宋_GB2312"/>
          <w:color w:val="000000" w:themeColor="text1"/>
          <w:kern w:val="0"/>
          <w:sz w:val="32"/>
          <w:szCs w:val="32"/>
          <w:lang w:val="zh-TW"/>
          <w14:textFill>
            <w14:solidFill>
              <w14:schemeClr w14:val="tx1"/>
            </w14:solidFill>
          </w14:textFill>
        </w:rPr>
        <w:t>案件），涉及投诉房地产中介的案件1088宗</w:t>
      </w:r>
      <w:r>
        <w:rPr>
          <w:rFonts w:hint="eastAsia" w:ascii="Times New Roman" w:hAnsi="Times New Roman" w:eastAsia="仿宋_GB2312"/>
          <w:color w:val="000000" w:themeColor="text1"/>
          <w:kern w:val="0"/>
          <w:sz w:val="32"/>
          <w:szCs w:val="32"/>
          <w:lang w:val="zh-TW"/>
          <w14:textFill>
            <w14:solidFill>
              <w14:schemeClr w14:val="tx1"/>
            </w14:solidFill>
          </w14:textFill>
        </w:rPr>
        <w:t>，其余包括消费者或房地产中介的咨询案件238宗，消费者建议14宗，中介机构维权12宗</w:t>
      </w:r>
      <w:r>
        <w:rPr>
          <w:rFonts w:ascii="Times New Roman" w:hAnsi="Times New Roman" w:eastAsia="仿宋_GB2312"/>
          <w:color w:val="000000" w:themeColor="text1"/>
          <w:kern w:val="0"/>
          <w:sz w:val="32"/>
          <w:szCs w:val="32"/>
          <w:lang w:val="zh-TW"/>
          <w14:textFill>
            <w14:solidFill>
              <w14:schemeClr w14:val="tx1"/>
            </w14:solidFill>
          </w14:textFill>
        </w:rPr>
        <w:t>。</w:t>
      </w:r>
    </w:p>
    <w:p w14:paraId="1715E26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涉及投诉房地产中介的1088宗案件中，有222宗案件未涉及具体的房屋交易行为（如反映中介服务态度及管理、互联网房源信息发布平台管理不规范等），占20.4%</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有866宗涉及具体的房屋交易行为，其中一手房交易纠纷共229宗，占21%</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二手房交易纠纷共449宗，占41.</w:t>
      </w:r>
      <w:r>
        <w:rPr>
          <w:rFonts w:hint="eastAsia" w:ascii="Times New Roman" w:hAnsi="Times New Roman" w:eastAsia="仿宋_GB2312"/>
          <w:color w:val="000000" w:themeColor="text1"/>
          <w:kern w:val="0"/>
          <w:sz w:val="32"/>
          <w:szCs w:val="32"/>
          <w:lang w:val="zh-TW"/>
          <w14:textFill>
            <w14:solidFill>
              <w14:schemeClr w14:val="tx1"/>
            </w14:solidFill>
          </w14:textFill>
        </w:rPr>
        <w:t>3</w:t>
      </w:r>
      <w:r>
        <w:rPr>
          <w:rFonts w:ascii="Times New Roman" w:hAnsi="Times New Roman" w:eastAsia="仿宋_GB2312"/>
          <w:color w:val="000000" w:themeColor="text1"/>
          <w:kern w:val="0"/>
          <w:sz w:val="32"/>
          <w:szCs w:val="32"/>
          <w:lang w:val="zh-TW"/>
          <w14:textFill>
            <w14:solidFill>
              <w14:schemeClr w14:val="tx1"/>
            </w14:solidFill>
          </w14:textFill>
        </w:rPr>
        <w:t>%，房屋租赁纠纷共188宗，占17.3%（见图</w:t>
      </w:r>
      <w:r>
        <w:rPr>
          <w:rFonts w:ascii="Times New Roman" w:hAnsi="Times New Roman" w:eastAsia="仿宋_GB2312"/>
          <w:color w:val="000000" w:themeColor="text1"/>
          <w:kern w:val="0"/>
          <w:sz w:val="32"/>
          <w:szCs w:val="32"/>
          <w14:textFill>
            <w14:solidFill>
              <w14:schemeClr w14:val="tx1"/>
            </w14:solidFill>
          </w14:textFill>
        </w:rPr>
        <w:t>1</w:t>
      </w:r>
      <w:r>
        <w:rPr>
          <w:rFonts w:hint="eastAsia" w:ascii="Times New Roman" w:hAnsi="Times New Roman" w:eastAsia="仿宋_GB2312"/>
          <w:color w:val="000000" w:themeColor="text1"/>
          <w:kern w:val="0"/>
          <w:sz w:val="32"/>
          <w:szCs w:val="32"/>
          <w14:textFill>
            <w14:solidFill>
              <w14:schemeClr w14:val="tx1"/>
            </w14:solidFill>
          </w14:textFill>
        </w:rPr>
        <w:t>7</w:t>
      </w:r>
      <w:r>
        <w:rPr>
          <w:rFonts w:ascii="Times New Roman" w:hAnsi="Times New Roman" w:eastAsia="仿宋_GB2312"/>
          <w:color w:val="000000" w:themeColor="text1"/>
          <w:kern w:val="0"/>
          <w:sz w:val="32"/>
          <w:szCs w:val="32"/>
          <w:lang w:val="zh-TW"/>
          <w14:textFill>
            <w14:solidFill>
              <w14:schemeClr w14:val="tx1"/>
            </w14:solidFill>
          </w14:textFill>
        </w:rPr>
        <w:t>）。</w:t>
      </w:r>
    </w:p>
    <w:bookmarkEnd w:id="83"/>
    <w:bookmarkEnd w:id="84"/>
    <w:bookmarkEnd w:id="85"/>
    <w:bookmarkEnd w:id="86"/>
    <w:p w14:paraId="6357D2B4">
      <w:pPr>
        <w:spacing w:line="360" w:lineRule="auto"/>
        <w:ind w:firstLine="480" w:firstLineChars="200"/>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drawing>
          <wp:inline distT="0" distB="0" distL="0" distR="0">
            <wp:extent cx="4578350" cy="274955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4578350" cy="2749550"/>
                    </a:xfrm>
                    <a:prstGeom prst="rect">
                      <a:avLst/>
                    </a:prstGeom>
                    <a:noFill/>
                  </pic:spPr>
                </pic:pic>
              </a:graphicData>
            </a:graphic>
          </wp:inline>
        </w:drawing>
      </w:r>
    </w:p>
    <w:p w14:paraId="30961C9A">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图1</w:t>
      </w:r>
      <w:r>
        <w:rPr>
          <w:rFonts w:hint="eastAsia" w:ascii="Times New Roman" w:hAnsi="Times New Roman"/>
          <w:color w:val="000000" w:themeColor="text1"/>
          <w:sz w:val="24"/>
          <w14:textFill>
            <w14:solidFill>
              <w14:schemeClr w14:val="tx1"/>
            </w14:solidFill>
          </w14:textFill>
        </w:rPr>
        <w:t>7</w:t>
      </w:r>
      <w:r>
        <w:rPr>
          <w:rFonts w:ascii="Times New Roman" w:hAnsi="Times New Roman"/>
          <w:color w:val="000000" w:themeColor="text1"/>
          <w:sz w:val="24"/>
          <w14:textFill>
            <w14:solidFill>
              <w14:schemeClr w14:val="tx1"/>
            </w14:solidFill>
          </w14:textFill>
        </w:rPr>
        <w:t xml:space="preserve"> </w:t>
      </w:r>
      <w:bookmarkStart w:id="87" w:name="OLE_LINK12"/>
      <w:r>
        <w:rPr>
          <w:rFonts w:ascii="Times New Roman" w:hAnsi="Times New Roman"/>
          <w:color w:val="000000" w:themeColor="text1"/>
          <w:sz w:val="24"/>
          <w14:textFill>
            <w14:solidFill>
              <w14:schemeClr w14:val="tx1"/>
            </w14:solidFill>
          </w14:textFill>
        </w:rPr>
        <w:t>消费者投诉案件</w:t>
      </w:r>
      <w:bookmarkEnd w:id="87"/>
      <w:r>
        <w:rPr>
          <w:rFonts w:ascii="Times New Roman" w:hAnsi="Times New Roman"/>
          <w:color w:val="000000" w:themeColor="text1"/>
          <w:sz w:val="24"/>
          <w14:textFill>
            <w14:solidFill>
              <w14:schemeClr w14:val="tx1"/>
            </w14:solidFill>
          </w14:textFill>
        </w:rPr>
        <w:t>的类型占比</w:t>
      </w:r>
    </w:p>
    <w:p w14:paraId="380364FE">
      <w:pPr>
        <w:wordWrap w:val="0"/>
        <w:spacing w:line="360" w:lineRule="auto"/>
        <w:jc w:val="right"/>
        <w:rPr>
          <w:rFonts w:ascii="Times New Roman" w:hAnsi="Times New Roman" w:eastAsiaTheme="minorEastAsia"/>
          <w:color w:val="000000" w:themeColor="text1"/>
          <w:szCs w:val="28"/>
          <w14:textFill>
            <w14:solidFill>
              <w14:schemeClr w14:val="tx1"/>
            </w14:solidFill>
          </w14:textFill>
        </w:rPr>
      </w:pPr>
      <w:r>
        <w:rPr>
          <w:rFonts w:ascii="Times New Roman" w:hAnsi="Times New Roman" w:eastAsiaTheme="minorEastAsia"/>
          <w:color w:val="000000" w:themeColor="text1"/>
          <w:szCs w:val="28"/>
          <w14:textFill>
            <w14:solidFill>
              <w14:schemeClr w14:val="tx1"/>
            </w14:solidFill>
          </w14:textFill>
        </w:rPr>
        <w:t>数据来源：广州市房屋交易监管中心</w:t>
      </w:r>
    </w:p>
    <w:p w14:paraId="5B77F165">
      <w:pPr>
        <w:spacing w:line="360" w:lineRule="auto"/>
        <w:jc w:val="center"/>
        <w:rPr>
          <w:rFonts w:ascii="Times New Roman" w:hAnsi="Times New Roman"/>
          <w:color w:val="000000" w:themeColor="text1"/>
          <w:sz w:val="22"/>
          <w:szCs w:val="20"/>
          <w14:textFill>
            <w14:solidFill>
              <w14:schemeClr w14:val="tx1"/>
            </w14:solidFill>
          </w14:textFill>
        </w:rPr>
      </w:pPr>
    </w:p>
    <w:p w14:paraId="62CDBB1C">
      <w:pPr>
        <w:pStyle w:val="3"/>
        <w:numPr>
          <w:ilvl w:val="255"/>
          <w:numId w:val="0"/>
        </w:numPr>
        <w:spacing w:before="240" w:after="0" w:line="360" w:lineRule="auto"/>
        <w:ind w:firstLine="562" w:firstLineChars="200"/>
        <w:jc w:val="left"/>
        <w:rPr>
          <w:rFonts w:ascii="Times New Roman" w:hAnsi="Times New Roman" w:eastAsia="黑体" w:cs="Times New Roman"/>
          <w:b w:val="0"/>
          <w:bCs w:val="0"/>
          <w:color w:val="000000" w:themeColor="text1"/>
          <w:sz w:val="28"/>
          <w:szCs w:val="28"/>
          <w14:textFill>
            <w14:solidFill>
              <w14:schemeClr w14:val="tx1"/>
            </w14:solidFill>
          </w14:textFill>
        </w:rPr>
      </w:pPr>
      <w:bookmarkStart w:id="88" w:name="_Toc192845454"/>
      <w:bookmarkStart w:id="89" w:name="_Toc20637"/>
      <w:bookmarkStart w:id="90" w:name="_Toc32696"/>
      <w:bookmarkStart w:id="91" w:name="_Toc19772"/>
      <w:bookmarkStart w:id="92" w:name="_Toc26547"/>
      <w:bookmarkStart w:id="93" w:name="_Toc19220"/>
      <w:bookmarkStart w:id="94" w:name="_Toc4190"/>
      <w:bookmarkStart w:id="95" w:name="_Toc9790"/>
      <w:bookmarkStart w:id="96" w:name="_Toc10887"/>
      <w:bookmarkStart w:id="97" w:name="_Toc21280"/>
      <w:bookmarkStart w:id="98" w:name="_Toc23674"/>
      <w:bookmarkStart w:id="99" w:name="_Toc15738"/>
      <w:bookmarkStart w:id="100" w:name="_Toc594"/>
      <w:bookmarkStart w:id="101" w:name="_Toc127875407"/>
      <w:bookmarkStart w:id="102" w:name="_Toc23505"/>
      <w:bookmarkStart w:id="103" w:name="_Toc2703"/>
      <w:bookmarkStart w:id="104" w:name="_Toc128753704"/>
      <w:bookmarkStart w:id="105" w:name="_Toc30527"/>
      <w:bookmarkStart w:id="106" w:name="_Toc20749"/>
      <w:bookmarkStart w:id="107" w:name="_Toc121991216"/>
      <w:bookmarkStart w:id="108" w:name="_Toc32232"/>
      <w:bookmarkStart w:id="109" w:name="_Toc22595"/>
      <w:bookmarkStart w:id="110" w:name="_Toc4795"/>
      <w:bookmarkStart w:id="111" w:name="_Toc30644"/>
      <w:bookmarkStart w:id="112" w:name="_Toc23216"/>
      <w:bookmarkStart w:id="113" w:name="_Toc5911"/>
      <w:bookmarkStart w:id="114" w:name="_Toc128564712"/>
      <w:bookmarkStart w:id="115" w:name="_Toc16109"/>
      <w:bookmarkStart w:id="116" w:name="_Toc6763"/>
      <w:r>
        <w:rPr>
          <w:rFonts w:ascii="Times New Roman" w:hAnsi="Times New Roman" w:eastAsia="黑体" w:cs="Times New Roman"/>
          <w:bCs w:val="0"/>
          <w:color w:val="000000" w:themeColor="text1"/>
          <w:sz w:val="28"/>
          <w:szCs w:val="28"/>
          <w14:textFill>
            <w14:solidFill>
              <w14:schemeClr w14:val="tx1"/>
            </w14:solidFill>
          </w14:textFill>
        </w:rPr>
        <w:t>（一）投诉事由分析</w:t>
      </w:r>
      <w:bookmarkEnd w:id="88"/>
    </w:p>
    <w:p w14:paraId="728ED7A3">
      <w:pPr>
        <w:numPr>
          <w:ilvl w:val="255"/>
          <w:numId w:val="0"/>
        </w:numPr>
        <w:spacing w:before="120" w:beforeLines="50" w:after="120" w:afterLines="50" w:line="360" w:lineRule="auto"/>
        <w:ind w:firstLine="562" w:firstLineChars="200"/>
        <w:jc w:val="left"/>
        <w:outlineLvl w:val="1"/>
        <w:rPr>
          <w:rFonts w:ascii="Times New Roman" w:hAnsi="Times New Roman"/>
          <w:b/>
          <w:bCs/>
          <w:color w:val="000000" w:themeColor="text1"/>
          <w:sz w:val="28"/>
          <w:szCs w:val="36"/>
          <w14:textFill>
            <w14:solidFill>
              <w14:schemeClr w14:val="tx1"/>
            </w14:solidFill>
          </w14:textFill>
        </w:rPr>
      </w:pPr>
      <w:bookmarkStart w:id="117" w:name="_Toc129694159"/>
      <w:bookmarkStart w:id="118" w:name="_Toc191915775"/>
      <w:bookmarkStart w:id="119" w:name="_Toc129785102"/>
      <w:bookmarkStart w:id="120" w:name="_Toc160185280"/>
      <w:bookmarkStart w:id="121" w:name="_Toc159513631"/>
      <w:bookmarkStart w:id="122" w:name="_Toc129769280"/>
      <w:bookmarkStart w:id="123" w:name="_Toc192845455"/>
      <w:bookmarkStart w:id="124" w:name="_Toc129694229"/>
      <w:r>
        <w:rPr>
          <w:rFonts w:ascii="Times New Roman" w:hAnsi="Times New Roman"/>
          <w:b/>
          <w:bCs/>
          <w:color w:val="000000" w:themeColor="text1"/>
          <w:sz w:val="28"/>
          <w:szCs w:val="36"/>
          <w14:textFill>
            <w14:solidFill>
              <w14:schemeClr w14:val="tx1"/>
            </w14:solidFill>
          </w14:textFill>
        </w:rPr>
        <w:t>1</w:t>
      </w:r>
      <w:r>
        <w:rPr>
          <w:rFonts w:hint="eastAsia" w:ascii="Times New Roman" w:hAnsi="Times New Roman"/>
          <w:b/>
          <w:bCs/>
          <w:color w:val="000000" w:themeColor="text1"/>
          <w:sz w:val="28"/>
          <w:szCs w:val="36"/>
          <w14:textFill>
            <w14:solidFill>
              <w14:schemeClr w14:val="tx1"/>
            </w14:solidFill>
          </w14:textFill>
        </w:rPr>
        <w:t>.</w:t>
      </w:r>
      <w:r>
        <w:rPr>
          <w:rFonts w:ascii="Times New Roman" w:hAnsi="Times New Roman"/>
          <w:b/>
          <w:bCs/>
          <w:color w:val="000000" w:themeColor="text1"/>
          <w:sz w:val="28"/>
          <w:szCs w:val="36"/>
          <w14:textFill>
            <w14:solidFill>
              <w14:schemeClr w14:val="tx1"/>
            </w14:solidFill>
          </w14:textFill>
        </w:rPr>
        <w:t>一手房交易纠纷</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51EA1F6">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涉及房地产中介的一手房交易投诉案件共229宗，消费者反映的问题主要集中在中介机构（或从业人员）未依约兑现返佣（或返物业管理费）承诺，共91宗，占该交易类投诉的39.7%，同比下降36.4%。其次是二次投诉案件共41宗，占17.9%；</w:t>
      </w:r>
      <w:r>
        <w:rPr>
          <w:rFonts w:hint="eastAsia" w:ascii="Times New Roman" w:hAnsi="Times New Roman" w:eastAsia="仿宋_GB2312"/>
          <w:color w:val="000000" w:themeColor="text1"/>
          <w:kern w:val="0"/>
          <w:sz w:val="32"/>
          <w:szCs w:val="32"/>
          <w:lang w:val="zh-TW"/>
          <w14:textFill>
            <w14:solidFill>
              <w14:schemeClr w14:val="tx1"/>
            </w14:solidFill>
          </w14:textFill>
        </w:rPr>
        <w:t>再次</w:t>
      </w:r>
      <w:r>
        <w:rPr>
          <w:rFonts w:ascii="Times New Roman" w:hAnsi="Times New Roman" w:eastAsia="仿宋_GB2312"/>
          <w:color w:val="000000" w:themeColor="text1"/>
          <w:kern w:val="0"/>
          <w:sz w:val="32"/>
          <w:szCs w:val="32"/>
          <w:lang w:val="zh-TW"/>
          <w14:textFill>
            <w14:solidFill>
              <w14:schemeClr w14:val="tx1"/>
            </w14:solidFill>
          </w14:textFill>
        </w:rPr>
        <w:t>是反映中介以团购费、服务费等名义变相收取中介费以及签约（或支付部分房款）后，购房人提出终止交易，要求退费的案件，</w:t>
      </w:r>
      <w:r>
        <w:rPr>
          <w:rFonts w:hint="eastAsia" w:ascii="Times New Roman" w:hAnsi="Times New Roman" w:eastAsia="仿宋_GB2312"/>
          <w:color w:val="000000" w:themeColor="text1"/>
          <w:kern w:val="0"/>
          <w:sz w:val="32"/>
          <w:szCs w:val="32"/>
          <w:lang w:val="zh-TW"/>
          <w14:textFill>
            <w14:solidFill>
              <w14:schemeClr w14:val="tx1"/>
            </w14:solidFill>
          </w14:textFill>
        </w:rPr>
        <w:t>均为</w:t>
      </w:r>
      <w:r>
        <w:rPr>
          <w:rFonts w:ascii="Times New Roman" w:hAnsi="Times New Roman" w:eastAsia="仿宋_GB2312"/>
          <w:color w:val="000000" w:themeColor="text1"/>
          <w:kern w:val="0"/>
          <w:sz w:val="32"/>
          <w:szCs w:val="32"/>
          <w:lang w:val="zh-TW"/>
          <w14:textFill>
            <w14:solidFill>
              <w14:schemeClr w14:val="tx1"/>
            </w14:solidFill>
          </w14:textFill>
        </w:rPr>
        <w:t>37宗（见表</w:t>
      </w:r>
      <w:r>
        <w:rPr>
          <w:rFonts w:ascii="Times New Roman" w:hAnsi="Times New Roman" w:eastAsia="仿宋_GB2312"/>
          <w:color w:val="000000" w:themeColor="text1"/>
          <w:kern w:val="0"/>
          <w:sz w:val="32"/>
          <w:szCs w:val="32"/>
          <w14:textFill>
            <w14:solidFill>
              <w14:schemeClr w14:val="tx1"/>
            </w14:solidFill>
          </w14:textFill>
        </w:rPr>
        <w:t>1</w:t>
      </w:r>
      <w:r>
        <w:rPr>
          <w:rFonts w:hint="eastAsia" w:ascii="Times New Roman" w:hAnsi="Times New Roman" w:eastAsia="仿宋_GB2312"/>
          <w:color w:val="000000" w:themeColor="text1"/>
          <w:kern w:val="0"/>
          <w:sz w:val="32"/>
          <w:szCs w:val="32"/>
          <w14:textFill>
            <w14:solidFill>
              <w14:schemeClr w14:val="tx1"/>
            </w14:solidFill>
          </w14:textFill>
        </w:rPr>
        <w:t>2</w:t>
      </w:r>
      <w:r>
        <w:rPr>
          <w:rFonts w:ascii="Times New Roman" w:hAnsi="Times New Roman" w:eastAsia="仿宋_GB2312"/>
          <w:color w:val="000000" w:themeColor="text1"/>
          <w:kern w:val="0"/>
          <w:sz w:val="32"/>
          <w:szCs w:val="32"/>
          <w:lang w:val="zh-TW"/>
          <w14:textFill>
            <w14:solidFill>
              <w14:schemeClr w14:val="tx1"/>
            </w14:solidFill>
          </w14:textFill>
        </w:rPr>
        <w:t>）。</w:t>
      </w:r>
    </w:p>
    <w:p w14:paraId="07ACA2C9">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p>
    <w:p w14:paraId="6F72A56E">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表1</w:t>
      </w:r>
      <w:r>
        <w:rPr>
          <w:rFonts w:hint="eastAsia" w:ascii="Times New Roman" w:hAnsi="Times New Roman"/>
          <w:color w:val="000000" w:themeColor="text1"/>
          <w:sz w:val="24"/>
          <w14:textFill>
            <w14:solidFill>
              <w14:schemeClr w14:val="tx1"/>
            </w14:solidFill>
          </w14:textFill>
        </w:rPr>
        <w:t xml:space="preserve">2 </w:t>
      </w:r>
      <w:r>
        <w:rPr>
          <w:rFonts w:ascii="Times New Roman" w:hAnsi="Times New Roman"/>
          <w:color w:val="000000" w:themeColor="text1"/>
          <w:sz w:val="24"/>
          <w14:textFill>
            <w14:solidFill>
              <w14:schemeClr w14:val="tx1"/>
            </w14:solidFill>
          </w14:textFill>
        </w:rPr>
        <w:t xml:space="preserve"> 房地产中介涉及一手房交易案件事由分析</w:t>
      </w:r>
    </w:p>
    <w:tbl>
      <w:tblPr>
        <w:tblStyle w:val="1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795"/>
        <w:gridCol w:w="805"/>
        <w:gridCol w:w="818"/>
        <w:gridCol w:w="927"/>
        <w:gridCol w:w="877"/>
      </w:tblGrid>
      <w:tr w14:paraId="43EE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3E83B6EA">
            <w:pPr>
              <w:widowControl/>
              <w:jc w:val="center"/>
              <w:textAlignment w:val="center"/>
              <w:rPr>
                <w:rFonts w:ascii="Times New Roman" w:hAnsi="Times New Roman" w:eastAsia="仿宋"/>
                <w:b/>
                <w:bCs/>
                <w:color w:val="000000" w:themeColor="text1"/>
                <w:sz w:val="22"/>
                <w:szCs w:val="21"/>
                <w14:textFill>
                  <w14:solidFill>
                    <w14:schemeClr w14:val="tx1"/>
                  </w14:solidFill>
                </w14:textFill>
              </w:rPr>
            </w:pPr>
            <w:r>
              <w:rPr>
                <w:rFonts w:hint="eastAsia" w:ascii="Times New Roman" w:hAnsi="Times New Roman" w:eastAsia="仿宋"/>
                <w:b/>
                <w:bCs/>
                <w:color w:val="000000" w:themeColor="text1"/>
                <w:sz w:val="22"/>
                <w:szCs w:val="21"/>
                <w14:textFill>
                  <w14:solidFill>
                    <w14:schemeClr w14:val="tx1"/>
                  </w14:solidFill>
                </w14:textFill>
              </w:rPr>
              <w:t>序号</w:t>
            </w:r>
          </w:p>
        </w:tc>
        <w:tc>
          <w:tcPr>
            <w:tcW w:w="4795" w:type="dxa"/>
            <w:shd w:val="clear" w:color="DCE6F1" w:fill="auto"/>
            <w:noWrap/>
            <w:vAlign w:val="center"/>
          </w:tcPr>
          <w:p w14:paraId="037FA3D6">
            <w:pPr>
              <w:widowControl/>
              <w:jc w:val="center"/>
              <w:textAlignment w:val="center"/>
              <w:rPr>
                <w:rFonts w:ascii="Times New Roman" w:hAnsi="Times New Roman" w:eastAsia="仿宋"/>
                <w:b/>
                <w:bCs/>
                <w:color w:val="000000" w:themeColor="text1"/>
                <w:sz w:val="22"/>
                <w:szCs w:val="21"/>
                <w14:textFill>
                  <w14:solidFill>
                    <w14:schemeClr w14:val="tx1"/>
                  </w14:solidFill>
                </w14:textFill>
              </w:rPr>
            </w:pPr>
            <w:r>
              <w:rPr>
                <w:rFonts w:hint="eastAsia" w:ascii="Times New Roman" w:hAnsi="Times New Roman" w:eastAsia="仿宋"/>
                <w:b/>
                <w:bCs/>
                <w:color w:val="000000" w:themeColor="text1"/>
                <w:kern w:val="0"/>
                <w:sz w:val="22"/>
                <w:szCs w:val="21"/>
                <w14:textFill>
                  <w14:solidFill>
                    <w14:schemeClr w14:val="tx1"/>
                  </w14:solidFill>
                </w14:textFill>
              </w:rPr>
              <w:t>事由分类</w:t>
            </w:r>
          </w:p>
        </w:tc>
        <w:tc>
          <w:tcPr>
            <w:tcW w:w="805" w:type="dxa"/>
            <w:shd w:val="clear" w:color="DCE6F1" w:fill="auto"/>
            <w:noWrap/>
            <w:vAlign w:val="center"/>
          </w:tcPr>
          <w:p w14:paraId="2FEAD407">
            <w:pPr>
              <w:widowControl/>
              <w:jc w:val="center"/>
              <w:textAlignment w:val="center"/>
              <w:rPr>
                <w:rFonts w:ascii="Times New Roman" w:hAnsi="Times New Roman" w:eastAsia="仿宋"/>
                <w:b/>
                <w:bCs/>
                <w:color w:val="000000" w:themeColor="text1"/>
                <w:kern w:val="0"/>
                <w:sz w:val="22"/>
                <w:szCs w:val="21"/>
                <w14:textFill>
                  <w14:solidFill>
                    <w14:schemeClr w14:val="tx1"/>
                  </w14:solidFill>
                </w14:textFill>
              </w:rPr>
            </w:pPr>
            <w:r>
              <w:rPr>
                <w:rFonts w:hint="eastAsia" w:ascii="Times New Roman" w:hAnsi="Times New Roman" w:eastAsia="仿宋"/>
                <w:b/>
                <w:bCs/>
                <w:color w:val="000000" w:themeColor="text1"/>
                <w:kern w:val="0"/>
                <w:sz w:val="22"/>
                <w:szCs w:val="21"/>
                <w14:textFill>
                  <w14:solidFill>
                    <w14:schemeClr w14:val="tx1"/>
                  </w14:solidFill>
                </w14:textFill>
              </w:rPr>
              <w:t>热线数量</w:t>
            </w:r>
          </w:p>
          <w:p w14:paraId="0A38AAFA">
            <w:pPr>
              <w:widowControl/>
              <w:jc w:val="center"/>
              <w:textAlignment w:val="center"/>
              <w:rPr>
                <w:rFonts w:ascii="Times New Roman" w:hAnsi="Times New Roman" w:eastAsia="仿宋"/>
                <w:b/>
                <w:bCs/>
                <w:color w:val="000000" w:themeColor="text1"/>
                <w:kern w:val="0"/>
                <w:sz w:val="22"/>
                <w:szCs w:val="21"/>
                <w14:textFill>
                  <w14:solidFill>
                    <w14:schemeClr w14:val="tx1"/>
                  </w14:solidFill>
                </w14:textFill>
              </w:rPr>
            </w:pPr>
            <w:r>
              <w:rPr>
                <w:rFonts w:hint="eastAsia" w:ascii="Times New Roman" w:hAnsi="Times New Roman" w:eastAsia="仿宋"/>
                <w:b/>
                <w:bCs/>
                <w:color w:val="000000" w:themeColor="text1"/>
                <w:kern w:val="0"/>
                <w:sz w:val="22"/>
                <w:szCs w:val="21"/>
                <w14:textFill>
                  <w14:solidFill>
                    <w14:schemeClr w14:val="tx1"/>
                  </w14:solidFill>
                </w14:textFill>
              </w:rPr>
              <w:t>（宗）</w:t>
            </w:r>
          </w:p>
        </w:tc>
        <w:tc>
          <w:tcPr>
            <w:tcW w:w="818" w:type="dxa"/>
            <w:shd w:val="clear" w:color="DCE6F1" w:fill="auto"/>
            <w:noWrap/>
            <w:vAlign w:val="center"/>
          </w:tcPr>
          <w:p w14:paraId="2FEF4266">
            <w:pPr>
              <w:widowControl/>
              <w:jc w:val="center"/>
              <w:textAlignment w:val="center"/>
              <w:rPr>
                <w:rFonts w:ascii="Times New Roman" w:hAnsi="Times New Roman" w:eastAsia="仿宋"/>
                <w:b/>
                <w:bCs/>
                <w:color w:val="000000" w:themeColor="text1"/>
                <w:kern w:val="0"/>
                <w:sz w:val="22"/>
                <w:szCs w:val="21"/>
                <w14:textFill>
                  <w14:solidFill>
                    <w14:schemeClr w14:val="tx1"/>
                  </w14:solidFill>
                </w14:textFill>
              </w:rPr>
            </w:pPr>
            <w:r>
              <w:rPr>
                <w:rFonts w:hint="eastAsia" w:ascii="Times New Roman" w:hAnsi="Times New Roman" w:eastAsia="仿宋"/>
                <w:b/>
                <w:bCs/>
                <w:color w:val="000000" w:themeColor="text1"/>
                <w:kern w:val="0"/>
                <w:sz w:val="22"/>
                <w:szCs w:val="21"/>
                <w14:textFill>
                  <w14:solidFill>
                    <w14:schemeClr w14:val="tx1"/>
                  </w14:solidFill>
                </w14:textFill>
              </w:rPr>
              <w:t>信访数量</w:t>
            </w:r>
          </w:p>
          <w:p w14:paraId="182A3445">
            <w:pPr>
              <w:widowControl/>
              <w:jc w:val="center"/>
              <w:textAlignment w:val="center"/>
              <w:rPr>
                <w:rFonts w:ascii="Times New Roman" w:hAnsi="Times New Roman" w:eastAsia="仿宋"/>
                <w:b/>
                <w:bCs/>
                <w:color w:val="000000" w:themeColor="text1"/>
                <w:kern w:val="0"/>
                <w:sz w:val="22"/>
                <w:szCs w:val="21"/>
                <w14:textFill>
                  <w14:solidFill>
                    <w14:schemeClr w14:val="tx1"/>
                  </w14:solidFill>
                </w14:textFill>
              </w:rPr>
            </w:pPr>
            <w:r>
              <w:rPr>
                <w:rFonts w:hint="eastAsia" w:ascii="Times New Roman" w:hAnsi="Times New Roman" w:eastAsia="仿宋"/>
                <w:b/>
                <w:bCs/>
                <w:color w:val="000000" w:themeColor="text1"/>
                <w:kern w:val="0"/>
                <w:sz w:val="22"/>
                <w:szCs w:val="21"/>
                <w14:textFill>
                  <w14:solidFill>
                    <w14:schemeClr w14:val="tx1"/>
                  </w14:solidFill>
                </w14:textFill>
              </w:rPr>
              <w:t>（宗）</w:t>
            </w:r>
          </w:p>
        </w:tc>
        <w:tc>
          <w:tcPr>
            <w:tcW w:w="927" w:type="dxa"/>
            <w:shd w:val="clear" w:color="DCE6F1" w:fill="auto"/>
            <w:noWrap/>
            <w:vAlign w:val="center"/>
          </w:tcPr>
          <w:p w14:paraId="5AE5A01C">
            <w:pPr>
              <w:widowControl/>
              <w:jc w:val="center"/>
              <w:textAlignment w:val="center"/>
              <w:rPr>
                <w:rFonts w:ascii="Times New Roman" w:hAnsi="Times New Roman" w:eastAsia="仿宋"/>
                <w:b/>
                <w:bCs/>
                <w:color w:val="000000" w:themeColor="text1"/>
                <w:kern w:val="0"/>
                <w:sz w:val="22"/>
                <w:szCs w:val="21"/>
                <w14:textFill>
                  <w14:solidFill>
                    <w14:schemeClr w14:val="tx1"/>
                  </w14:solidFill>
                </w14:textFill>
              </w:rPr>
            </w:pPr>
            <w:r>
              <w:rPr>
                <w:rFonts w:hint="eastAsia" w:ascii="Times New Roman" w:hAnsi="Times New Roman" w:eastAsia="仿宋"/>
                <w:b/>
                <w:bCs/>
                <w:color w:val="000000" w:themeColor="text1"/>
                <w:kern w:val="0"/>
                <w:sz w:val="22"/>
                <w:szCs w:val="21"/>
                <w14:textFill>
                  <w14:solidFill>
                    <w14:schemeClr w14:val="tx1"/>
                  </w14:solidFill>
                </w14:textFill>
              </w:rPr>
              <w:t>总数（宗）</w:t>
            </w:r>
          </w:p>
        </w:tc>
        <w:tc>
          <w:tcPr>
            <w:tcW w:w="877" w:type="dxa"/>
            <w:shd w:val="clear" w:color="DCE6F1" w:fill="auto"/>
            <w:noWrap/>
            <w:vAlign w:val="center"/>
          </w:tcPr>
          <w:p w14:paraId="3FB060AA">
            <w:pPr>
              <w:widowControl/>
              <w:jc w:val="center"/>
              <w:textAlignment w:val="center"/>
              <w:rPr>
                <w:rFonts w:ascii="Times New Roman" w:hAnsi="Times New Roman" w:eastAsia="仿宋"/>
                <w:b/>
                <w:bCs/>
                <w:color w:val="000000" w:themeColor="text1"/>
                <w:kern w:val="0"/>
                <w:sz w:val="22"/>
                <w:szCs w:val="21"/>
                <w14:textFill>
                  <w14:solidFill>
                    <w14:schemeClr w14:val="tx1"/>
                  </w14:solidFill>
                </w14:textFill>
              </w:rPr>
            </w:pPr>
            <w:r>
              <w:rPr>
                <w:rFonts w:hint="eastAsia" w:ascii="Times New Roman" w:hAnsi="Times New Roman" w:eastAsia="仿宋"/>
                <w:b/>
                <w:bCs/>
                <w:color w:val="000000" w:themeColor="text1"/>
                <w:kern w:val="0"/>
                <w:sz w:val="22"/>
                <w:szCs w:val="21"/>
                <w14:textFill>
                  <w14:solidFill>
                    <w14:schemeClr w14:val="tx1"/>
                  </w14:solidFill>
                </w14:textFill>
              </w:rPr>
              <w:t>占比</w:t>
            </w:r>
          </w:p>
        </w:tc>
      </w:tr>
      <w:tr w14:paraId="474D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17" w:type="dxa"/>
            <w:shd w:val="clear" w:color="DCE6F1" w:fill="auto"/>
            <w:noWrap/>
            <w:vAlign w:val="center"/>
          </w:tcPr>
          <w:p w14:paraId="5D36761C">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w:t>
            </w:r>
          </w:p>
        </w:tc>
        <w:tc>
          <w:tcPr>
            <w:tcW w:w="4795" w:type="dxa"/>
            <w:shd w:val="clear" w:color="DCE6F1" w:fill="auto"/>
            <w:noWrap/>
            <w:vAlign w:val="center"/>
          </w:tcPr>
          <w:p w14:paraId="77B3DCEA">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中介机构（或从业人员）未依约兑现返佣（返物业费）承诺</w:t>
            </w:r>
            <w:r>
              <w:rPr>
                <w:rFonts w:hint="eastAsia" w:ascii="Times New Roman" w:hAnsi="Times New Roman" w:eastAsia="仿宋"/>
                <w:kern w:val="0"/>
                <w:sz w:val="24"/>
                <w:szCs w:val="24"/>
              </w:rPr>
              <w:t>。</w:t>
            </w:r>
          </w:p>
        </w:tc>
        <w:tc>
          <w:tcPr>
            <w:tcW w:w="805" w:type="dxa"/>
            <w:shd w:val="clear" w:color="DCE6F1" w:fill="auto"/>
            <w:noWrap/>
            <w:vAlign w:val="center"/>
          </w:tcPr>
          <w:p w14:paraId="366BDED1">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89</w:t>
            </w:r>
          </w:p>
        </w:tc>
        <w:tc>
          <w:tcPr>
            <w:tcW w:w="818" w:type="dxa"/>
            <w:shd w:val="clear" w:color="DCE6F1" w:fill="auto"/>
            <w:noWrap/>
            <w:vAlign w:val="center"/>
          </w:tcPr>
          <w:p w14:paraId="3023B0C1">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2</w:t>
            </w:r>
          </w:p>
        </w:tc>
        <w:tc>
          <w:tcPr>
            <w:tcW w:w="927" w:type="dxa"/>
            <w:shd w:val="clear" w:color="DCE6F1" w:fill="auto"/>
            <w:noWrap/>
            <w:vAlign w:val="center"/>
          </w:tcPr>
          <w:p w14:paraId="0F45FEBE">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91</w:t>
            </w:r>
          </w:p>
        </w:tc>
        <w:tc>
          <w:tcPr>
            <w:tcW w:w="877" w:type="dxa"/>
            <w:shd w:val="clear" w:color="DCE6F1" w:fill="auto"/>
            <w:noWrap/>
            <w:vAlign w:val="center"/>
          </w:tcPr>
          <w:p w14:paraId="7CEF0079">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39.7%</w:t>
            </w:r>
          </w:p>
        </w:tc>
      </w:tr>
      <w:tr w14:paraId="4229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280C50A2">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w:t>
            </w:r>
          </w:p>
        </w:tc>
        <w:tc>
          <w:tcPr>
            <w:tcW w:w="4795" w:type="dxa"/>
            <w:shd w:val="clear" w:color="DCE6F1" w:fill="auto"/>
            <w:noWrap/>
            <w:vAlign w:val="center"/>
          </w:tcPr>
          <w:p w14:paraId="092EE903">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二次投诉。</w:t>
            </w:r>
          </w:p>
        </w:tc>
        <w:tc>
          <w:tcPr>
            <w:tcW w:w="805" w:type="dxa"/>
            <w:shd w:val="clear" w:color="DCE6F1" w:fill="auto"/>
            <w:noWrap/>
            <w:vAlign w:val="center"/>
          </w:tcPr>
          <w:p w14:paraId="08A80FFA">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40</w:t>
            </w:r>
          </w:p>
        </w:tc>
        <w:tc>
          <w:tcPr>
            <w:tcW w:w="818" w:type="dxa"/>
            <w:shd w:val="clear" w:color="DCE6F1" w:fill="auto"/>
            <w:noWrap/>
            <w:vAlign w:val="center"/>
          </w:tcPr>
          <w:p w14:paraId="1B33F45D">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w:t>
            </w:r>
          </w:p>
        </w:tc>
        <w:tc>
          <w:tcPr>
            <w:tcW w:w="927" w:type="dxa"/>
            <w:shd w:val="clear" w:color="DCE6F1" w:fill="auto"/>
            <w:noWrap/>
            <w:vAlign w:val="center"/>
          </w:tcPr>
          <w:p w14:paraId="75E0D876">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41</w:t>
            </w:r>
          </w:p>
        </w:tc>
        <w:tc>
          <w:tcPr>
            <w:tcW w:w="877" w:type="dxa"/>
            <w:shd w:val="clear" w:color="DCE6F1" w:fill="auto"/>
            <w:noWrap/>
            <w:vAlign w:val="center"/>
          </w:tcPr>
          <w:p w14:paraId="551A7A69">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17.9%</w:t>
            </w:r>
          </w:p>
        </w:tc>
      </w:tr>
      <w:tr w14:paraId="14A9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18E0A179">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w:t>
            </w:r>
          </w:p>
        </w:tc>
        <w:tc>
          <w:tcPr>
            <w:tcW w:w="4795" w:type="dxa"/>
            <w:shd w:val="clear" w:color="DCE6F1" w:fill="auto"/>
            <w:noWrap/>
            <w:vAlign w:val="center"/>
          </w:tcPr>
          <w:p w14:paraId="70E3F7D5">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中介以团购费、服务费等名义变相收取中介费。</w:t>
            </w:r>
          </w:p>
        </w:tc>
        <w:tc>
          <w:tcPr>
            <w:tcW w:w="805" w:type="dxa"/>
            <w:shd w:val="clear" w:color="DCE6F1" w:fill="auto"/>
            <w:noWrap/>
            <w:vAlign w:val="center"/>
          </w:tcPr>
          <w:p w14:paraId="4ED1775C">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37</w:t>
            </w:r>
          </w:p>
        </w:tc>
        <w:tc>
          <w:tcPr>
            <w:tcW w:w="818" w:type="dxa"/>
            <w:shd w:val="clear" w:color="DCE6F1" w:fill="auto"/>
            <w:noWrap/>
            <w:vAlign w:val="center"/>
          </w:tcPr>
          <w:p w14:paraId="01A15E89">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w:t>
            </w:r>
          </w:p>
        </w:tc>
        <w:tc>
          <w:tcPr>
            <w:tcW w:w="927" w:type="dxa"/>
            <w:shd w:val="clear" w:color="DCE6F1" w:fill="auto"/>
            <w:noWrap/>
            <w:vAlign w:val="center"/>
          </w:tcPr>
          <w:p w14:paraId="5B596B73">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37</w:t>
            </w:r>
          </w:p>
        </w:tc>
        <w:tc>
          <w:tcPr>
            <w:tcW w:w="877" w:type="dxa"/>
            <w:shd w:val="clear" w:color="DCE6F1" w:fill="auto"/>
            <w:noWrap/>
            <w:vAlign w:val="center"/>
          </w:tcPr>
          <w:p w14:paraId="5189F0BD">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16.2%</w:t>
            </w:r>
          </w:p>
        </w:tc>
      </w:tr>
      <w:tr w14:paraId="353E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722C538F">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w:t>
            </w:r>
          </w:p>
        </w:tc>
        <w:tc>
          <w:tcPr>
            <w:tcW w:w="4795" w:type="dxa"/>
            <w:shd w:val="clear" w:color="DCE6F1" w:fill="auto"/>
            <w:noWrap/>
            <w:vAlign w:val="center"/>
          </w:tcPr>
          <w:p w14:paraId="4E681831">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签约（或支付部分房款）后，购房人提出终止交易，并要求退回定金、中介费、按揭费、预订金等。</w:t>
            </w:r>
          </w:p>
        </w:tc>
        <w:tc>
          <w:tcPr>
            <w:tcW w:w="805" w:type="dxa"/>
            <w:shd w:val="clear" w:color="DCE6F1" w:fill="auto"/>
            <w:noWrap/>
            <w:vAlign w:val="center"/>
          </w:tcPr>
          <w:p w14:paraId="4A624E6D">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36</w:t>
            </w:r>
          </w:p>
        </w:tc>
        <w:tc>
          <w:tcPr>
            <w:tcW w:w="818" w:type="dxa"/>
            <w:shd w:val="clear" w:color="DCE6F1" w:fill="auto"/>
            <w:noWrap/>
            <w:vAlign w:val="center"/>
          </w:tcPr>
          <w:p w14:paraId="572D931B">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w:t>
            </w:r>
          </w:p>
        </w:tc>
        <w:tc>
          <w:tcPr>
            <w:tcW w:w="927" w:type="dxa"/>
            <w:shd w:val="clear" w:color="DCE6F1" w:fill="auto"/>
            <w:noWrap/>
            <w:vAlign w:val="center"/>
          </w:tcPr>
          <w:p w14:paraId="37FA95FC">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37</w:t>
            </w:r>
          </w:p>
        </w:tc>
        <w:tc>
          <w:tcPr>
            <w:tcW w:w="877" w:type="dxa"/>
            <w:shd w:val="clear" w:color="DCE6F1" w:fill="auto"/>
            <w:noWrap/>
            <w:vAlign w:val="center"/>
          </w:tcPr>
          <w:p w14:paraId="704C25C4">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16.2%</w:t>
            </w:r>
          </w:p>
        </w:tc>
      </w:tr>
      <w:tr w14:paraId="2FD1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17" w:type="dxa"/>
            <w:shd w:val="clear" w:color="DCE6F1" w:fill="auto"/>
            <w:noWrap/>
            <w:vAlign w:val="center"/>
          </w:tcPr>
          <w:p w14:paraId="1990C8CF">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w:t>
            </w:r>
          </w:p>
        </w:tc>
        <w:tc>
          <w:tcPr>
            <w:tcW w:w="4795" w:type="dxa"/>
            <w:shd w:val="clear" w:color="DCE6F1" w:fill="auto"/>
            <w:noWrap/>
            <w:vAlign w:val="center"/>
          </w:tcPr>
          <w:p w14:paraId="42BFA297">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隐瞒或提供虚假、错误的房屋交易信息（如：房屋性质、贷款年限、贷款金额等）。</w:t>
            </w:r>
          </w:p>
        </w:tc>
        <w:tc>
          <w:tcPr>
            <w:tcW w:w="805" w:type="dxa"/>
            <w:shd w:val="clear" w:color="DCE6F1" w:fill="auto"/>
            <w:noWrap/>
            <w:vAlign w:val="center"/>
          </w:tcPr>
          <w:p w14:paraId="474DC5B4">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5</w:t>
            </w:r>
          </w:p>
        </w:tc>
        <w:tc>
          <w:tcPr>
            <w:tcW w:w="818" w:type="dxa"/>
            <w:shd w:val="clear" w:color="DCE6F1" w:fill="auto"/>
            <w:noWrap/>
            <w:vAlign w:val="center"/>
          </w:tcPr>
          <w:p w14:paraId="3FB5A7B3">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w:t>
            </w:r>
          </w:p>
        </w:tc>
        <w:tc>
          <w:tcPr>
            <w:tcW w:w="927" w:type="dxa"/>
            <w:shd w:val="clear" w:color="DCE6F1" w:fill="auto"/>
            <w:noWrap/>
            <w:vAlign w:val="center"/>
          </w:tcPr>
          <w:p w14:paraId="092ADE06">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5</w:t>
            </w:r>
          </w:p>
        </w:tc>
        <w:tc>
          <w:tcPr>
            <w:tcW w:w="877" w:type="dxa"/>
            <w:shd w:val="clear" w:color="DCE6F1" w:fill="auto"/>
            <w:noWrap/>
            <w:vAlign w:val="center"/>
          </w:tcPr>
          <w:p w14:paraId="32C88494">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2.2%</w:t>
            </w:r>
          </w:p>
        </w:tc>
      </w:tr>
      <w:tr w14:paraId="42F1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24F19F3C">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6</w:t>
            </w:r>
          </w:p>
        </w:tc>
        <w:tc>
          <w:tcPr>
            <w:tcW w:w="4795" w:type="dxa"/>
            <w:shd w:val="clear" w:color="DCE6F1" w:fill="auto"/>
            <w:noWrap/>
            <w:vAlign w:val="center"/>
          </w:tcPr>
          <w:p w14:paraId="7DCD420A">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发布虚假或禁止交易的房源信息广告（如：发布楼盘信息与实际情况不符、楼盘未取得预售证等）</w:t>
            </w:r>
          </w:p>
        </w:tc>
        <w:tc>
          <w:tcPr>
            <w:tcW w:w="805" w:type="dxa"/>
            <w:shd w:val="clear" w:color="DCE6F1" w:fill="auto"/>
            <w:noWrap/>
            <w:vAlign w:val="center"/>
          </w:tcPr>
          <w:p w14:paraId="62F9224B">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w:t>
            </w:r>
          </w:p>
        </w:tc>
        <w:tc>
          <w:tcPr>
            <w:tcW w:w="818" w:type="dxa"/>
            <w:shd w:val="clear" w:color="DCE6F1" w:fill="auto"/>
            <w:noWrap/>
            <w:vAlign w:val="center"/>
          </w:tcPr>
          <w:p w14:paraId="1411CB82">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w:t>
            </w:r>
          </w:p>
        </w:tc>
        <w:tc>
          <w:tcPr>
            <w:tcW w:w="927" w:type="dxa"/>
            <w:shd w:val="clear" w:color="DCE6F1" w:fill="auto"/>
            <w:noWrap/>
            <w:vAlign w:val="center"/>
          </w:tcPr>
          <w:p w14:paraId="2A5882E2">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4</w:t>
            </w:r>
          </w:p>
        </w:tc>
        <w:tc>
          <w:tcPr>
            <w:tcW w:w="877" w:type="dxa"/>
            <w:shd w:val="clear" w:color="DCE6F1" w:fill="auto"/>
            <w:noWrap/>
            <w:vAlign w:val="center"/>
          </w:tcPr>
          <w:p w14:paraId="6EFD972F">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1.7%</w:t>
            </w:r>
          </w:p>
        </w:tc>
      </w:tr>
      <w:tr w14:paraId="787D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1BDD9B5E">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7</w:t>
            </w:r>
          </w:p>
        </w:tc>
        <w:tc>
          <w:tcPr>
            <w:tcW w:w="4795" w:type="dxa"/>
            <w:shd w:val="clear" w:color="DCE6F1" w:fill="auto"/>
            <w:noWrap/>
            <w:vAlign w:val="center"/>
          </w:tcPr>
          <w:p w14:paraId="6E4B5E83">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中介服务不到位：如业务不熟悉、不敦促（或不协助）交易当事人办理按揭、过户、交楼等手续，要求退中介费、按揭费等。</w:t>
            </w:r>
          </w:p>
        </w:tc>
        <w:tc>
          <w:tcPr>
            <w:tcW w:w="805" w:type="dxa"/>
            <w:shd w:val="clear" w:color="DCE6F1" w:fill="auto"/>
            <w:noWrap/>
            <w:vAlign w:val="center"/>
          </w:tcPr>
          <w:p w14:paraId="2F9CACF3">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4</w:t>
            </w:r>
          </w:p>
        </w:tc>
        <w:tc>
          <w:tcPr>
            <w:tcW w:w="818" w:type="dxa"/>
            <w:shd w:val="clear" w:color="DCE6F1" w:fill="auto"/>
            <w:noWrap/>
            <w:vAlign w:val="center"/>
          </w:tcPr>
          <w:p w14:paraId="16603216">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w:t>
            </w:r>
          </w:p>
        </w:tc>
        <w:tc>
          <w:tcPr>
            <w:tcW w:w="927" w:type="dxa"/>
            <w:shd w:val="clear" w:color="DCE6F1" w:fill="auto"/>
            <w:noWrap/>
            <w:vAlign w:val="center"/>
          </w:tcPr>
          <w:p w14:paraId="208AFC82">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4</w:t>
            </w:r>
          </w:p>
        </w:tc>
        <w:tc>
          <w:tcPr>
            <w:tcW w:w="877" w:type="dxa"/>
            <w:shd w:val="clear" w:color="DCE6F1" w:fill="auto"/>
            <w:noWrap/>
            <w:vAlign w:val="center"/>
          </w:tcPr>
          <w:p w14:paraId="63E782C9">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1.7%</w:t>
            </w:r>
          </w:p>
        </w:tc>
      </w:tr>
      <w:tr w14:paraId="31DA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4697CEBC">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w:t>
            </w:r>
          </w:p>
        </w:tc>
        <w:tc>
          <w:tcPr>
            <w:tcW w:w="4795" w:type="dxa"/>
            <w:shd w:val="clear" w:color="DCE6F1" w:fill="auto"/>
            <w:noWrap/>
            <w:vAlign w:val="center"/>
          </w:tcPr>
          <w:p w14:paraId="38B9677B">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虚假口头承诺，签约后无法兑现，要求退中介费、定金等。</w:t>
            </w:r>
          </w:p>
        </w:tc>
        <w:tc>
          <w:tcPr>
            <w:tcW w:w="805" w:type="dxa"/>
            <w:shd w:val="clear" w:color="DCE6F1" w:fill="auto"/>
            <w:noWrap/>
            <w:vAlign w:val="center"/>
          </w:tcPr>
          <w:p w14:paraId="19A91C4E">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w:t>
            </w:r>
          </w:p>
        </w:tc>
        <w:tc>
          <w:tcPr>
            <w:tcW w:w="818" w:type="dxa"/>
            <w:shd w:val="clear" w:color="DCE6F1" w:fill="auto"/>
            <w:noWrap/>
            <w:vAlign w:val="center"/>
          </w:tcPr>
          <w:p w14:paraId="2F06966A">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w:t>
            </w:r>
          </w:p>
        </w:tc>
        <w:tc>
          <w:tcPr>
            <w:tcW w:w="927" w:type="dxa"/>
            <w:shd w:val="clear" w:color="DCE6F1" w:fill="auto"/>
            <w:noWrap/>
            <w:vAlign w:val="center"/>
          </w:tcPr>
          <w:p w14:paraId="73DD2FF6">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w:t>
            </w:r>
          </w:p>
        </w:tc>
        <w:tc>
          <w:tcPr>
            <w:tcW w:w="877" w:type="dxa"/>
            <w:shd w:val="clear" w:color="DCE6F1" w:fill="auto"/>
            <w:noWrap/>
            <w:vAlign w:val="center"/>
          </w:tcPr>
          <w:p w14:paraId="2C16BB1A">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1.3%</w:t>
            </w:r>
          </w:p>
        </w:tc>
      </w:tr>
      <w:tr w14:paraId="53C7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817" w:type="dxa"/>
            <w:shd w:val="clear" w:color="DCE6F1" w:fill="auto"/>
            <w:noWrap/>
            <w:vAlign w:val="center"/>
          </w:tcPr>
          <w:p w14:paraId="59C8257A">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9</w:t>
            </w:r>
          </w:p>
        </w:tc>
        <w:tc>
          <w:tcPr>
            <w:tcW w:w="4795" w:type="dxa"/>
            <w:shd w:val="clear" w:color="DCE6F1" w:fill="auto"/>
            <w:noWrap/>
            <w:vAlign w:val="center"/>
          </w:tcPr>
          <w:p w14:paraId="7FD4514D">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隐瞒房屋真实放盘价格（如：未告知备案价）</w:t>
            </w:r>
          </w:p>
        </w:tc>
        <w:tc>
          <w:tcPr>
            <w:tcW w:w="805" w:type="dxa"/>
            <w:shd w:val="clear" w:color="DCE6F1" w:fill="auto"/>
            <w:noWrap/>
            <w:vAlign w:val="center"/>
          </w:tcPr>
          <w:p w14:paraId="5BC8C1DA">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w:t>
            </w:r>
          </w:p>
        </w:tc>
        <w:tc>
          <w:tcPr>
            <w:tcW w:w="818" w:type="dxa"/>
            <w:shd w:val="clear" w:color="DCE6F1" w:fill="auto"/>
            <w:noWrap/>
            <w:vAlign w:val="center"/>
          </w:tcPr>
          <w:p w14:paraId="5F5E719F">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w:t>
            </w:r>
          </w:p>
        </w:tc>
        <w:tc>
          <w:tcPr>
            <w:tcW w:w="927" w:type="dxa"/>
            <w:shd w:val="clear" w:color="DCE6F1" w:fill="auto"/>
            <w:noWrap/>
            <w:vAlign w:val="center"/>
          </w:tcPr>
          <w:p w14:paraId="0E9AFC2B">
            <w:pPr>
              <w:widowControl/>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w:t>
            </w:r>
          </w:p>
        </w:tc>
        <w:tc>
          <w:tcPr>
            <w:tcW w:w="877" w:type="dxa"/>
            <w:shd w:val="clear" w:color="DCE6F1" w:fill="auto"/>
            <w:noWrap/>
            <w:vAlign w:val="center"/>
          </w:tcPr>
          <w:p w14:paraId="274E0D53">
            <w:pPr>
              <w:widowControl/>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1.3%</w:t>
            </w:r>
          </w:p>
        </w:tc>
      </w:tr>
      <w:tr w14:paraId="5C08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06FE84FF">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10</w:t>
            </w:r>
          </w:p>
        </w:tc>
        <w:tc>
          <w:tcPr>
            <w:tcW w:w="4795" w:type="dxa"/>
            <w:shd w:val="clear" w:color="DCE6F1" w:fill="auto"/>
            <w:noWrap/>
            <w:vAlign w:val="center"/>
          </w:tcPr>
          <w:p w14:paraId="631D1289">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中介乱收费：收费项目标准不透明，强制或捆绑收费，或未按中介服务合同约定收取中介服务费、收取合同约定以外的费用等，请求退费。</w:t>
            </w:r>
          </w:p>
        </w:tc>
        <w:tc>
          <w:tcPr>
            <w:tcW w:w="805" w:type="dxa"/>
            <w:shd w:val="clear" w:color="DCE6F1" w:fill="auto"/>
            <w:noWrap/>
            <w:vAlign w:val="center"/>
          </w:tcPr>
          <w:p w14:paraId="067CAB31">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w:t>
            </w:r>
          </w:p>
        </w:tc>
        <w:tc>
          <w:tcPr>
            <w:tcW w:w="818" w:type="dxa"/>
            <w:shd w:val="clear" w:color="DCE6F1" w:fill="auto"/>
            <w:noWrap/>
            <w:vAlign w:val="center"/>
          </w:tcPr>
          <w:p w14:paraId="50F4F8CA">
            <w:pPr>
              <w:widowControl/>
              <w:jc w:val="center"/>
              <w:textAlignment w:val="center"/>
              <w:rPr>
                <w:rFonts w:ascii="Times New Roman" w:hAnsi="Times New Roman"/>
                <w:color w:val="000000" w:themeColor="text1"/>
                <w:kern w:val="0"/>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w:t>
            </w:r>
          </w:p>
        </w:tc>
        <w:tc>
          <w:tcPr>
            <w:tcW w:w="927" w:type="dxa"/>
            <w:shd w:val="clear" w:color="DCE6F1" w:fill="auto"/>
            <w:noWrap/>
            <w:vAlign w:val="center"/>
          </w:tcPr>
          <w:p w14:paraId="3D5150A2">
            <w:pPr>
              <w:widowControl/>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w:t>
            </w:r>
          </w:p>
        </w:tc>
        <w:tc>
          <w:tcPr>
            <w:tcW w:w="877" w:type="dxa"/>
            <w:shd w:val="clear" w:color="DCE6F1" w:fill="auto"/>
            <w:noWrap/>
            <w:vAlign w:val="center"/>
          </w:tcPr>
          <w:p w14:paraId="2F0D39CB">
            <w:pPr>
              <w:widowControl/>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1.3%</w:t>
            </w:r>
          </w:p>
        </w:tc>
      </w:tr>
      <w:tr w14:paraId="3226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shd w:val="clear" w:color="DCE6F1" w:fill="auto"/>
            <w:noWrap/>
            <w:vAlign w:val="center"/>
          </w:tcPr>
          <w:p w14:paraId="1E29F5C6">
            <w:pPr>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11</w:t>
            </w:r>
          </w:p>
        </w:tc>
        <w:tc>
          <w:tcPr>
            <w:tcW w:w="4795" w:type="dxa"/>
            <w:shd w:val="clear" w:color="DCE6F1" w:fill="auto"/>
            <w:noWrap/>
            <w:vAlign w:val="center"/>
          </w:tcPr>
          <w:p w14:paraId="6902BA5C">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违反限售限购限贷政策提供中介服务（如：未审查或明知买方无购房资格、零首付或首付不足三成、协助或诱导当事人提供虚假购房证明材料等、房屋是否具备出售条件）。</w:t>
            </w:r>
          </w:p>
        </w:tc>
        <w:tc>
          <w:tcPr>
            <w:tcW w:w="805" w:type="dxa"/>
            <w:shd w:val="clear" w:color="DCE6F1" w:fill="auto"/>
            <w:noWrap/>
            <w:vAlign w:val="center"/>
          </w:tcPr>
          <w:p w14:paraId="09767AFE">
            <w:pPr>
              <w:widowControl/>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w:t>
            </w:r>
          </w:p>
        </w:tc>
        <w:tc>
          <w:tcPr>
            <w:tcW w:w="818" w:type="dxa"/>
            <w:shd w:val="clear" w:color="DCE6F1" w:fill="auto"/>
            <w:noWrap/>
            <w:vAlign w:val="center"/>
          </w:tcPr>
          <w:p w14:paraId="02E4FB32">
            <w:pPr>
              <w:widowControl/>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w:t>
            </w:r>
          </w:p>
        </w:tc>
        <w:tc>
          <w:tcPr>
            <w:tcW w:w="927" w:type="dxa"/>
            <w:shd w:val="clear" w:color="DCE6F1" w:fill="auto"/>
            <w:noWrap/>
            <w:vAlign w:val="center"/>
          </w:tcPr>
          <w:p w14:paraId="18276533">
            <w:pPr>
              <w:widowControl/>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w:t>
            </w:r>
          </w:p>
        </w:tc>
        <w:tc>
          <w:tcPr>
            <w:tcW w:w="877" w:type="dxa"/>
            <w:shd w:val="clear" w:color="DCE6F1" w:fill="auto"/>
            <w:noWrap/>
            <w:vAlign w:val="center"/>
          </w:tcPr>
          <w:p w14:paraId="461FEDB7">
            <w:pPr>
              <w:widowControl/>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0.4%</w:t>
            </w:r>
          </w:p>
        </w:tc>
      </w:tr>
      <w:tr w14:paraId="3BD1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612" w:type="dxa"/>
            <w:gridSpan w:val="2"/>
            <w:shd w:val="clear" w:color="DCE6F1" w:fill="auto"/>
            <w:noWrap/>
            <w:vAlign w:val="center"/>
          </w:tcPr>
          <w:p w14:paraId="5084F98C">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总计</w:t>
            </w:r>
          </w:p>
        </w:tc>
        <w:tc>
          <w:tcPr>
            <w:tcW w:w="805" w:type="dxa"/>
            <w:shd w:val="clear" w:color="DCE6F1" w:fill="auto"/>
            <w:noWrap/>
            <w:vAlign w:val="center"/>
          </w:tcPr>
          <w:p w14:paraId="338D2C89">
            <w:pPr>
              <w:widowControl/>
              <w:jc w:val="center"/>
              <w:textAlignment w:val="center"/>
              <w:rPr>
                <w:rFonts w:ascii="Times New Roman" w:hAnsi="Times New Roman"/>
                <w:b/>
                <w:bCs/>
                <w:color w:val="000000" w:themeColor="text1"/>
                <w:kern w:val="0"/>
                <w:sz w:val="24"/>
                <w:szCs w:val="24"/>
                <w14:textFill>
                  <w14:solidFill>
                    <w14:schemeClr w14:val="tx1"/>
                  </w14:solidFill>
                </w14:textFill>
              </w:rPr>
            </w:pPr>
            <w:r>
              <w:rPr>
                <w:rFonts w:ascii="Times New Roman" w:hAnsi="Times New Roman"/>
                <w:b/>
                <w:bCs/>
                <w:color w:val="000000" w:themeColor="text1"/>
                <w:kern w:val="0"/>
                <w:sz w:val="24"/>
                <w:szCs w:val="24"/>
                <w:lang w:bidi="ar"/>
                <w14:textFill>
                  <w14:solidFill>
                    <w14:schemeClr w14:val="tx1"/>
                  </w14:solidFill>
                </w14:textFill>
              </w:rPr>
              <w:t>224</w:t>
            </w:r>
          </w:p>
        </w:tc>
        <w:tc>
          <w:tcPr>
            <w:tcW w:w="818" w:type="dxa"/>
            <w:shd w:val="clear" w:color="DCE6F1" w:fill="auto"/>
            <w:noWrap/>
            <w:vAlign w:val="center"/>
          </w:tcPr>
          <w:p w14:paraId="36A6BE2C">
            <w:pPr>
              <w:widowControl/>
              <w:jc w:val="center"/>
              <w:textAlignment w:val="center"/>
              <w:rPr>
                <w:rFonts w:ascii="Times New Roman" w:hAnsi="Times New Roman"/>
                <w:b/>
                <w:bCs/>
                <w:color w:val="000000" w:themeColor="text1"/>
                <w:kern w:val="0"/>
                <w:sz w:val="24"/>
                <w:szCs w:val="24"/>
                <w14:textFill>
                  <w14:solidFill>
                    <w14:schemeClr w14:val="tx1"/>
                  </w14:solidFill>
                </w14:textFill>
              </w:rPr>
            </w:pPr>
            <w:r>
              <w:rPr>
                <w:rFonts w:ascii="Times New Roman" w:hAnsi="Times New Roman"/>
                <w:b/>
                <w:bCs/>
                <w:color w:val="000000" w:themeColor="text1"/>
                <w:kern w:val="0"/>
                <w:sz w:val="24"/>
                <w:szCs w:val="24"/>
                <w:lang w:bidi="ar"/>
                <w14:textFill>
                  <w14:solidFill>
                    <w14:schemeClr w14:val="tx1"/>
                  </w14:solidFill>
                </w14:textFill>
              </w:rPr>
              <w:t>5</w:t>
            </w:r>
          </w:p>
        </w:tc>
        <w:tc>
          <w:tcPr>
            <w:tcW w:w="927" w:type="dxa"/>
            <w:shd w:val="clear" w:color="DCE6F1" w:fill="auto"/>
            <w:noWrap/>
            <w:vAlign w:val="center"/>
          </w:tcPr>
          <w:p w14:paraId="076DCC27">
            <w:pPr>
              <w:widowControl/>
              <w:jc w:val="center"/>
              <w:textAlignment w:val="center"/>
              <w:rPr>
                <w:rFonts w:ascii="Times New Roman" w:hAnsi="Times New Roman"/>
                <w:b/>
                <w:bCs/>
                <w:color w:val="000000" w:themeColor="text1"/>
                <w:kern w:val="0"/>
                <w:sz w:val="24"/>
                <w:szCs w:val="24"/>
                <w14:textFill>
                  <w14:solidFill>
                    <w14:schemeClr w14:val="tx1"/>
                  </w14:solidFill>
                </w14:textFill>
              </w:rPr>
            </w:pPr>
            <w:r>
              <w:rPr>
                <w:rFonts w:ascii="Times New Roman" w:hAnsi="Times New Roman"/>
                <w:b/>
                <w:bCs/>
                <w:color w:val="000000" w:themeColor="text1"/>
                <w:kern w:val="0"/>
                <w:sz w:val="24"/>
                <w:szCs w:val="24"/>
                <w:lang w:bidi="ar"/>
                <w14:textFill>
                  <w14:solidFill>
                    <w14:schemeClr w14:val="tx1"/>
                  </w14:solidFill>
                </w14:textFill>
              </w:rPr>
              <w:t>229</w:t>
            </w:r>
          </w:p>
        </w:tc>
        <w:tc>
          <w:tcPr>
            <w:tcW w:w="877" w:type="dxa"/>
            <w:shd w:val="clear" w:color="DCE6F1" w:fill="auto"/>
            <w:noWrap/>
            <w:vAlign w:val="center"/>
          </w:tcPr>
          <w:p w14:paraId="4FE8056F">
            <w:pPr>
              <w:widowControl/>
              <w:jc w:val="center"/>
              <w:textAlignment w:val="center"/>
              <w:rPr>
                <w:rFonts w:ascii="Times New Roman" w:hAnsi="Times New Roman"/>
                <w:b/>
                <w:bCs/>
                <w:color w:val="000000" w:themeColor="text1"/>
                <w:kern w:val="0"/>
                <w:sz w:val="24"/>
                <w:szCs w:val="24"/>
                <w14:textFill>
                  <w14:solidFill>
                    <w14:schemeClr w14:val="tx1"/>
                  </w14:solidFill>
                </w14:textFill>
              </w:rPr>
            </w:pPr>
          </w:p>
        </w:tc>
      </w:tr>
    </w:tbl>
    <w:p w14:paraId="1A0FFB2C">
      <w:pPr>
        <w:wordWrap w:val="0"/>
        <w:spacing w:line="360" w:lineRule="auto"/>
        <w:ind w:right="105"/>
        <w:jc w:val="right"/>
        <w:rPr>
          <w:rFonts w:ascii="Times New Roman" w:hAnsi="Times New Roman" w:eastAsiaTheme="minorEastAsia"/>
          <w:color w:val="000000" w:themeColor="text1"/>
          <w:szCs w:val="28"/>
          <w14:textFill>
            <w14:solidFill>
              <w14:schemeClr w14:val="tx1"/>
            </w14:solidFill>
          </w14:textFill>
        </w:rPr>
      </w:pPr>
      <w:bookmarkStart w:id="125" w:name="_Toc13317"/>
      <w:bookmarkStart w:id="126" w:name="_Toc127875408"/>
      <w:bookmarkStart w:id="127" w:name="_Toc20375"/>
      <w:bookmarkStart w:id="128" w:name="_Toc15598"/>
      <w:bookmarkStart w:id="129" w:name="_Toc9338"/>
      <w:bookmarkStart w:id="130" w:name="_Toc8382"/>
      <w:bookmarkStart w:id="131" w:name="_Toc26104"/>
      <w:bookmarkStart w:id="132" w:name="_Toc30877"/>
      <w:bookmarkStart w:id="133" w:name="_Toc128564713"/>
      <w:bookmarkStart w:id="134" w:name="_Toc121991217"/>
      <w:bookmarkStart w:id="135" w:name="_Toc24474"/>
      <w:bookmarkStart w:id="136" w:name="_Toc13715"/>
      <w:bookmarkStart w:id="137" w:name="_Toc3191"/>
      <w:bookmarkStart w:id="138" w:name="_Toc17685"/>
      <w:bookmarkStart w:id="139" w:name="_Toc20484"/>
      <w:bookmarkStart w:id="140" w:name="_Toc22625"/>
      <w:bookmarkStart w:id="141" w:name="_Toc1626"/>
      <w:bookmarkStart w:id="142" w:name="_Toc2047"/>
      <w:bookmarkStart w:id="143" w:name="_Toc27403"/>
      <w:bookmarkStart w:id="144" w:name="_Toc8361"/>
      <w:bookmarkStart w:id="145" w:name="_Toc20753"/>
      <w:bookmarkStart w:id="146" w:name="_Toc10762"/>
      <w:bookmarkStart w:id="147" w:name="_Toc8059"/>
      <w:bookmarkStart w:id="148" w:name="_Toc25854"/>
      <w:bookmarkStart w:id="149" w:name="_Toc22183"/>
      <w:bookmarkStart w:id="150" w:name="_Toc19757"/>
      <w:bookmarkStart w:id="151" w:name="_Toc20268"/>
      <w:bookmarkStart w:id="152" w:name="_Toc128753705"/>
      <w:bookmarkStart w:id="153" w:name="_Toc16052"/>
      <w:r>
        <w:rPr>
          <w:rFonts w:ascii="Times New Roman" w:hAnsi="Times New Roman" w:eastAsiaTheme="minorEastAsia"/>
          <w:color w:val="000000" w:themeColor="text1"/>
          <w:szCs w:val="28"/>
          <w14:textFill>
            <w14:solidFill>
              <w14:schemeClr w14:val="tx1"/>
            </w14:solidFill>
          </w14:textFill>
        </w:rPr>
        <w:t>数据来源：广州市房屋交易监管中心</w:t>
      </w:r>
    </w:p>
    <w:p w14:paraId="4B59090B">
      <w:pPr>
        <w:numPr>
          <w:ilvl w:val="255"/>
          <w:numId w:val="0"/>
        </w:numPr>
        <w:spacing w:before="120" w:beforeLines="50" w:after="120" w:afterLines="50" w:line="360" w:lineRule="auto"/>
        <w:ind w:firstLine="562" w:firstLineChars="200"/>
        <w:jc w:val="left"/>
        <w:outlineLvl w:val="1"/>
        <w:rPr>
          <w:rFonts w:ascii="Times New Roman" w:hAnsi="Times New Roman"/>
          <w:b/>
          <w:bCs/>
          <w:color w:val="000000" w:themeColor="text1"/>
          <w:sz w:val="28"/>
          <w:szCs w:val="36"/>
          <w14:textFill>
            <w14:solidFill>
              <w14:schemeClr w14:val="tx1"/>
            </w14:solidFill>
          </w14:textFill>
        </w:rPr>
      </w:pPr>
      <w:bookmarkStart w:id="154" w:name="_Toc129769281"/>
      <w:bookmarkStart w:id="155" w:name="_Toc129785103"/>
      <w:bookmarkStart w:id="156" w:name="_Toc192845456"/>
      <w:bookmarkStart w:id="157" w:name="_Toc129694160"/>
      <w:bookmarkStart w:id="158" w:name="_Toc129694230"/>
      <w:bookmarkStart w:id="159" w:name="_Toc191915776"/>
      <w:bookmarkStart w:id="160" w:name="_Toc160185281"/>
      <w:bookmarkStart w:id="161" w:name="_Toc159513632"/>
      <w:r>
        <w:rPr>
          <w:rFonts w:ascii="Times New Roman" w:hAnsi="Times New Roman"/>
          <w:b/>
          <w:bCs/>
          <w:color w:val="000000" w:themeColor="text1"/>
          <w:sz w:val="28"/>
          <w:szCs w:val="36"/>
          <w14:textFill>
            <w14:solidFill>
              <w14:schemeClr w14:val="tx1"/>
            </w14:solidFill>
          </w14:textFill>
        </w:rPr>
        <w:t>2</w:t>
      </w:r>
      <w:r>
        <w:rPr>
          <w:rFonts w:hint="eastAsia" w:ascii="Times New Roman" w:hAnsi="Times New Roman"/>
          <w:b/>
          <w:bCs/>
          <w:color w:val="000000" w:themeColor="text1"/>
          <w:sz w:val="28"/>
          <w:szCs w:val="36"/>
          <w14:textFill>
            <w14:solidFill>
              <w14:schemeClr w14:val="tx1"/>
            </w14:solidFill>
          </w14:textFill>
        </w:rPr>
        <w:t>.</w:t>
      </w:r>
      <w:r>
        <w:rPr>
          <w:rFonts w:ascii="Times New Roman" w:hAnsi="Times New Roman"/>
          <w:b/>
          <w:bCs/>
          <w:color w:val="000000" w:themeColor="text1"/>
          <w:sz w:val="28"/>
          <w:szCs w:val="36"/>
          <w14:textFill>
            <w14:solidFill>
              <w14:schemeClr w14:val="tx1"/>
            </w14:solidFill>
          </w14:textFill>
        </w:rPr>
        <w:t>二手房交易纠纷</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20E9D49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涉及房地产中介的二手房交易投诉案件共449宗。前三名投诉案件事由分别是：（1）签约后，交易当事人一方违约或双方终止合同，交易不成功，要求退费的共97宗，占21.6%；（2）二次投诉的共95宗，占21.2%；（3）反映中介服务不到位：如从业人员业务不熟悉、不敦促（或不协助）交易当事人办理按揭、过户、交楼等手续，要求减免中介费的共91宗，占20.3%（见表1</w:t>
      </w:r>
      <w:r>
        <w:rPr>
          <w:rFonts w:hint="eastAsia" w:ascii="Times New Roman" w:hAnsi="Times New Roman" w:eastAsia="仿宋_GB2312"/>
          <w:color w:val="000000" w:themeColor="text1"/>
          <w:kern w:val="0"/>
          <w:sz w:val="32"/>
          <w:szCs w:val="32"/>
          <w14:textFill>
            <w14:solidFill>
              <w14:schemeClr w14:val="tx1"/>
            </w14:solidFill>
          </w14:textFill>
        </w:rPr>
        <w:t>3</w:t>
      </w:r>
      <w:r>
        <w:rPr>
          <w:rFonts w:ascii="Times New Roman" w:hAnsi="Times New Roman" w:eastAsia="仿宋_GB2312"/>
          <w:color w:val="000000" w:themeColor="text1"/>
          <w:kern w:val="0"/>
          <w:sz w:val="32"/>
          <w:szCs w:val="32"/>
          <w:lang w:val="zh-TW"/>
          <w14:textFill>
            <w14:solidFill>
              <w14:schemeClr w14:val="tx1"/>
            </w14:solidFill>
          </w14:textFill>
        </w:rPr>
        <w:t>）。</w:t>
      </w:r>
    </w:p>
    <w:p w14:paraId="21039E22">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1BEA9815">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表1</w:t>
      </w:r>
      <w:r>
        <w:rPr>
          <w:rFonts w:hint="eastAsia" w:ascii="Times New Roman" w:hAnsi="Times New Roman"/>
          <w:color w:val="000000" w:themeColor="text1"/>
          <w:sz w:val="24"/>
          <w14:textFill>
            <w14:solidFill>
              <w14:schemeClr w14:val="tx1"/>
            </w14:solidFill>
          </w14:textFill>
        </w:rPr>
        <w:t xml:space="preserve">3 </w:t>
      </w:r>
      <w:r>
        <w:rPr>
          <w:rFonts w:ascii="Times New Roman" w:hAnsi="Times New Roman"/>
          <w:color w:val="000000" w:themeColor="text1"/>
          <w:sz w:val="24"/>
          <w14:textFill>
            <w14:solidFill>
              <w14:schemeClr w14:val="tx1"/>
            </w14:solidFill>
          </w14:textFill>
        </w:rPr>
        <w:t xml:space="preserve"> 房地产中介涉及二手房交易案件事由分析</w:t>
      </w:r>
    </w:p>
    <w:tbl>
      <w:tblPr>
        <w:tblStyle w:val="19"/>
        <w:tblW w:w="9057" w:type="dxa"/>
        <w:tblInd w:w="5" w:type="dxa"/>
        <w:tblLayout w:type="fixed"/>
        <w:tblCellMar>
          <w:top w:w="0" w:type="dxa"/>
          <w:left w:w="0" w:type="dxa"/>
          <w:bottom w:w="0" w:type="dxa"/>
          <w:right w:w="0" w:type="dxa"/>
        </w:tblCellMar>
      </w:tblPr>
      <w:tblGrid>
        <w:gridCol w:w="709"/>
        <w:gridCol w:w="5544"/>
        <w:gridCol w:w="641"/>
        <w:gridCol w:w="622"/>
        <w:gridCol w:w="845"/>
        <w:gridCol w:w="696"/>
      </w:tblGrid>
      <w:tr w14:paraId="280EF945">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4602F7EF">
            <w:pPr>
              <w:widowControl/>
              <w:jc w:val="center"/>
              <w:textAlignment w:val="center"/>
              <w:rPr>
                <w:rFonts w:ascii="Times New Roman" w:hAnsi="Times New Roman" w:eastAsia="仿宋"/>
                <w:b/>
                <w:bCs/>
                <w:color w:val="000000" w:themeColor="text1"/>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序号</w:t>
            </w:r>
          </w:p>
        </w:tc>
        <w:tc>
          <w:tcPr>
            <w:tcW w:w="5544" w:type="dxa"/>
            <w:tcBorders>
              <w:top w:val="single" w:color="000000" w:sz="4" w:space="0"/>
              <w:left w:val="single" w:color="000000" w:sz="4" w:space="0"/>
              <w:bottom w:val="single" w:color="000000" w:sz="4" w:space="0"/>
              <w:right w:val="single" w:color="000000" w:sz="4" w:space="0"/>
            </w:tcBorders>
            <w:vAlign w:val="center"/>
          </w:tcPr>
          <w:p w14:paraId="5FB7E662">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事由分类</w:t>
            </w:r>
          </w:p>
        </w:tc>
        <w:tc>
          <w:tcPr>
            <w:tcW w:w="641" w:type="dxa"/>
            <w:tcBorders>
              <w:top w:val="single" w:color="000000" w:sz="4" w:space="0"/>
              <w:left w:val="single" w:color="000000" w:sz="4" w:space="0"/>
              <w:bottom w:val="single" w:color="000000" w:sz="4" w:space="0"/>
              <w:right w:val="single" w:color="000000" w:sz="4" w:space="0"/>
            </w:tcBorders>
            <w:vAlign w:val="center"/>
          </w:tcPr>
          <w:p w14:paraId="5606A477">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热线数量</w:t>
            </w:r>
          </w:p>
          <w:p w14:paraId="507317D8">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（宗）</w:t>
            </w:r>
          </w:p>
        </w:tc>
        <w:tc>
          <w:tcPr>
            <w:tcW w:w="622" w:type="dxa"/>
            <w:tcBorders>
              <w:top w:val="single" w:color="000000" w:sz="4" w:space="0"/>
              <w:left w:val="single" w:color="000000" w:sz="4" w:space="0"/>
              <w:bottom w:val="single" w:color="000000" w:sz="4" w:space="0"/>
              <w:right w:val="single" w:color="000000" w:sz="4" w:space="0"/>
            </w:tcBorders>
            <w:vAlign w:val="center"/>
          </w:tcPr>
          <w:p w14:paraId="2796D929">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信访数量</w:t>
            </w:r>
          </w:p>
          <w:p w14:paraId="48E7ADA2">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（宗）</w:t>
            </w:r>
          </w:p>
        </w:tc>
        <w:tc>
          <w:tcPr>
            <w:tcW w:w="845" w:type="dxa"/>
            <w:tcBorders>
              <w:top w:val="single" w:color="000000" w:sz="4" w:space="0"/>
              <w:left w:val="single" w:color="000000" w:sz="4" w:space="0"/>
              <w:bottom w:val="single" w:color="000000" w:sz="4" w:space="0"/>
              <w:right w:val="single" w:color="000000" w:sz="4" w:space="0"/>
            </w:tcBorders>
            <w:vAlign w:val="center"/>
          </w:tcPr>
          <w:p w14:paraId="55204ED7">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总数</w:t>
            </w:r>
          </w:p>
          <w:p w14:paraId="1790810D">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（宗）</w:t>
            </w:r>
          </w:p>
        </w:tc>
        <w:tc>
          <w:tcPr>
            <w:tcW w:w="696" w:type="dxa"/>
            <w:tcBorders>
              <w:top w:val="single" w:color="000000" w:sz="4" w:space="0"/>
              <w:left w:val="single" w:color="000000" w:sz="4" w:space="0"/>
              <w:bottom w:val="single" w:color="000000" w:sz="4" w:space="0"/>
              <w:right w:val="single" w:color="000000" w:sz="4" w:space="0"/>
            </w:tcBorders>
            <w:vAlign w:val="center"/>
          </w:tcPr>
          <w:p w14:paraId="57D3A562">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占比</w:t>
            </w:r>
          </w:p>
        </w:tc>
      </w:tr>
      <w:tr w14:paraId="656D084F">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2ACBE9C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w:t>
            </w:r>
          </w:p>
        </w:tc>
        <w:tc>
          <w:tcPr>
            <w:tcW w:w="5544" w:type="dxa"/>
            <w:tcBorders>
              <w:top w:val="single" w:color="000000" w:sz="4" w:space="0"/>
              <w:left w:val="single" w:color="000000" w:sz="4" w:space="0"/>
              <w:bottom w:val="single" w:color="000000" w:sz="4" w:space="0"/>
              <w:right w:val="single" w:color="000000" w:sz="4" w:space="0"/>
            </w:tcBorders>
            <w:vAlign w:val="center"/>
          </w:tcPr>
          <w:p w14:paraId="698A8118">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签约后，交易当事人一方违约或双方终止合同，交易不成功，要求退回定金、中介费、按揭费等。</w:t>
            </w:r>
          </w:p>
        </w:tc>
        <w:tc>
          <w:tcPr>
            <w:tcW w:w="641" w:type="dxa"/>
            <w:tcBorders>
              <w:top w:val="single" w:color="000000" w:sz="4" w:space="0"/>
              <w:left w:val="single" w:color="000000" w:sz="4" w:space="0"/>
              <w:bottom w:val="single" w:color="000000" w:sz="4" w:space="0"/>
              <w:right w:val="single" w:color="000000" w:sz="4" w:space="0"/>
            </w:tcBorders>
            <w:vAlign w:val="center"/>
          </w:tcPr>
          <w:p w14:paraId="524E008D">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93</w:t>
            </w:r>
          </w:p>
        </w:tc>
        <w:tc>
          <w:tcPr>
            <w:tcW w:w="622" w:type="dxa"/>
            <w:tcBorders>
              <w:top w:val="single" w:color="000000" w:sz="4" w:space="0"/>
              <w:left w:val="single" w:color="000000" w:sz="4" w:space="0"/>
              <w:bottom w:val="single" w:color="000000" w:sz="4" w:space="0"/>
              <w:right w:val="single" w:color="000000" w:sz="4" w:space="0"/>
            </w:tcBorders>
            <w:vAlign w:val="center"/>
          </w:tcPr>
          <w:p w14:paraId="5ACFF46B">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w:t>
            </w:r>
          </w:p>
        </w:tc>
        <w:tc>
          <w:tcPr>
            <w:tcW w:w="845" w:type="dxa"/>
            <w:tcBorders>
              <w:top w:val="single" w:color="000000" w:sz="4" w:space="0"/>
              <w:left w:val="single" w:color="000000" w:sz="4" w:space="0"/>
              <w:bottom w:val="single" w:color="000000" w:sz="4" w:space="0"/>
              <w:right w:val="single" w:color="000000" w:sz="4" w:space="0"/>
            </w:tcBorders>
            <w:vAlign w:val="center"/>
          </w:tcPr>
          <w:p w14:paraId="35FED92B">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97</w:t>
            </w:r>
          </w:p>
        </w:tc>
        <w:tc>
          <w:tcPr>
            <w:tcW w:w="696" w:type="dxa"/>
            <w:tcBorders>
              <w:top w:val="single" w:color="000000" w:sz="4" w:space="0"/>
              <w:left w:val="single" w:color="000000" w:sz="4" w:space="0"/>
              <w:bottom w:val="single" w:color="000000" w:sz="4" w:space="0"/>
              <w:right w:val="single" w:color="000000" w:sz="4" w:space="0"/>
            </w:tcBorders>
            <w:vAlign w:val="center"/>
          </w:tcPr>
          <w:p w14:paraId="41028071">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21.6%</w:t>
            </w:r>
          </w:p>
        </w:tc>
      </w:tr>
      <w:tr w14:paraId="5E887C5E">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5AB58E7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2</w:t>
            </w:r>
          </w:p>
        </w:tc>
        <w:tc>
          <w:tcPr>
            <w:tcW w:w="5544" w:type="dxa"/>
            <w:tcBorders>
              <w:top w:val="single" w:color="000000" w:sz="4" w:space="0"/>
              <w:left w:val="single" w:color="000000" w:sz="4" w:space="0"/>
              <w:bottom w:val="single" w:color="000000" w:sz="4" w:space="0"/>
              <w:right w:val="single" w:color="000000" w:sz="4" w:space="0"/>
            </w:tcBorders>
            <w:vAlign w:val="center"/>
          </w:tcPr>
          <w:p w14:paraId="10E61331">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二次投诉。</w:t>
            </w:r>
          </w:p>
        </w:tc>
        <w:tc>
          <w:tcPr>
            <w:tcW w:w="641" w:type="dxa"/>
            <w:tcBorders>
              <w:top w:val="single" w:color="000000" w:sz="4" w:space="0"/>
              <w:left w:val="single" w:color="000000" w:sz="4" w:space="0"/>
              <w:bottom w:val="single" w:color="000000" w:sz="4" w:space="0"/>
              <w:right w:val="single" w:color="000000" w:sz="4" w:space="0"/>
            </w:tcBorders>
            <w:vAlign w:val="center"/>
          </w:tcPr>
          <w:p w14:paraId="473B7F74">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88</w:t>
            </w:r>
          </w:p>
        </w:tc>
        <w:tc>
          <w:tcPr>
            <w:tcW w:w="622" w:type="dxa"/>
            <w:tcBorders>
              <w:top w:val="single" w:color="000000" w:sz="4" w:space="0"/>
              <w:left w:val="single" w:color="000000" w:sz="4" w:space="0"/>
              <w:bottom w:val="single" w:color="000000" w:sz="4" w:space="0"/>
              <w:right w:val="single" w:color="000000" w:sz="4" w:space="0"/>
            </w:tcBorders>
            <w:vAlign w:val="center"/>
          </w:tcPr>
          <w:p w14:paraId="383F8731">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7</w:t>
            </w:r>
          </w:p>
        </w:tc>
        <w:tc>
          <w:tcPr>
            <w:tcW w:w="845" w:type="dxa"/>
            <w:tcBorders>
              <w:top w:val="single" w:color="000000" w:sz="4" w:space="0"/>
              <w:left w:val="single" w:color="000000" w:sz="4" w:space="0"/>
              <w:bottom w:val="single" w:color="000000" w:sz="4" w:space="0"/>
              <w:right w:val="single" w:color="000000" w:sz="4" w:space="0"/>
            </w:tcBorders>
            <w:vAlign w:val="center"/>
          </w:tcPr>
          <w:p w14:paraId="1E961D05">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95</w:t>
            </w:r>
          </w:p>
        </w:tc>
        <w:tc>
          <w:tcPr>
            <w:tcW w:w="696" w:type="dxa"/>
            <w:tcBorders>
              <w:top w:val="single" w:color="000000" w:sz="4" w:space="0"/>
              <w:left w:val="single" w:color="000000" w:sz="4" w:space="0"/>
              <w:bottom w:val="single" w:color="000000" w:sz="4" w:space="0"/>
              <w:right w:val="single" w:color="000000" w:sz="4" w:space="0"/>
            </w:tcBorders>
            <w:vAlign w:val="center"/>
          </w:tcPr>
          <w:p w14:paraId="661140E6">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21.2%</w:t>
            </w:r>
          </w:p>
        </w:tc>
      </w:tr>
      <w:tr w14:paraId="31265157">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2D46388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3</w:t>
            </w:r>
          </w:p>
        </w:tc>
        <w:tc>
          <w:tcPr>
            <w:tcW w:w="5544" w:type="dxa"/>
            <w:tcBorders>
              <w:top w:val="single" w:color="000000" w:sz="4" w:space="0"/>
              <w:left w:val="single" w:color="000000" w:sz="4" w:space="0"/>
              <w:bottom w:val="single" w:color="000000" w:sz="4" w:space="0"/>
              <w:right w:val="single" w:color="000000" w:sz="4" w:space="0"/>
            </w:tcBorders>
            <w:vAlign w:val="center"/>
          </w:tcPr>
          <w:p w14:paraId="773FC2FC">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中介服务不到位：如从业人员业务不熟悉、不敦促（或不协助）交易当事人办理按揭、过户、交楼等手续，要求减免中介费。</w:t>
            </w:r>
          </w:p>
        </w:tc>
        <w:tc>
          <w:tcPr>
            <w:tcW w:w="641" w:type="dxa"/>
            <w:tcBorders>
              <w:top w:val="single" w:color="000000" w:sz="4" w:space="0"/>
              <w:left w:val="single" w:color="000000" w:sz="4" w:space="0"/>
              <w:bottom w:val="single" w:color="000000" w:sz="4" w:space="0"/>
              <w:right w:val="single" w:color="000000" w:sz="4" w:space="0"/>
            </w:tcBorders>
            <w:vAlign w:val="center"/>
          </w:tcPr>
          <w:p w14:paraId="263E6F3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91</w:t>
            </w:r>
          </w:p>
        </w:tc>
        <w:tc>
          <w:tcPr>
            <w:tcW w:w="622" w:type="dxa"/>
            <w:tcBorders>
              <w:top w:val="single" w:color="000000" w:sz="4" w:space="0"/>
              <w:left w:val="single" w:color="000000" w:sz="4" w:space="0"/>
              <w:bottom w:val="single" w:color="000000" w:sz="4" w:space="0"/>
              <w:right w:val="single" w:color="000000" w:sz="4" w:space="0"/>
            </w:tcBorders>
            <w:vAlign w:val="center"/>
          </w:tcPr>
          <w:p w14:paraId="16B76ED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845" w:type="dxa"/>
            <w:tcBorders>
              <w:top w:val="single" w:color="000000" w:sz="4" w:space="0"/>
              <w:left w:val="single" w:color="000000" w:sz="4" w:space="0"/>
              <w:bottom w:val="single" w:color="000000" w:sz="4" w:space="0"/>
              <w:right w:val="single" w:color="000000" w:sz="4" w:space="0"/>
            </w:tcBorders>
            <w:vAlign w:val="center"/>
          </w:tcPr>
          <w:p w14:paraId="101145F2">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91</w:t>
            </w:r>
          </w:p>
        </w:tc>
        <w:tc>
          <w:tcPr>
            <w:tcW w:w="696" w:type="dxa"/>
            <w:tcBorders>
              <w:top w:val="single" w:color="000000" w:sz="4" w:space="0"/>
              <w:left w:val="single" w:color="000000" w:sz="4" w:space="0"/>
              <w:bottom w:val="single" w:color="000000" w:sz="4" w:space="0"/>
              <w:right w:val="single" w:color="000000" w:sz="4" w:space="0"/>
            </w:tcBorders>
            <w:vAlign w:val="center"/>
          </w:tcPr>
          <w:p w14:paraId="0962AFB5">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20.3%</w:t>
            </w:r>
          </w:p>
        </w:tc>
      </w:tr>
      <w:tr w14:paraId="41542F07">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7424C7C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4</w:t>
            </w:r>
          </w:p>
        </w:tc>
        <w:tc>
          <w:tcPr>
            <w:tcW w:w="5544" w:type="dxa"/>
            <w:tcBorders>
              <w:top w:val="single" w:color="000000" w:sz="4" w:space="0"/>
              <w:left w:val="single" w:color="000000" w:sz="4" w:space="0"/>
              <w:bottom w:val="single" w:color="000000" w:sz="4" w:space="0"/>
              <w:right w:val="single" w:color="000000" w:sz="4" w:space="0"/>
            </w:tcBorders>
            <w:vAlign w:val="center"/>
          </w:tcPr>
          <w:p w14:paraId="23D727BC">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隐瞒或提供虚假、错误的房屋交易信息（如：房屋存在渗漏、甲醛超标、噪音问题、房屋面积、存在违建等）。</w:t>
            </w:r>
          </w:p>
        </w:tc>
        <w:tc>
          <w:tcPr>
            <w:tcW w:w="641" w:type="dxa"/>
            <w:tcBorders>
              <w:top w:val="single" w:color="000000" w:sz="4" w:space="0"/>
              <w:left w:val="single" w:color="000000" w:sz="4" w:space="0"/>
              <w:bottom w:val="single" w:color="000000" w:sz="4" w:space="0"/>
              <w:right w:val="single" w:color="000000" w:sz="4" w:space="0"/>
            </w:tcBorders>
            <w:vAlign w:val="center"/>
          </w:tcPr>
          <w:p w14:paraId="7201B3DA">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60</w:t>
            </w:r>
          </w:p>
        </w:tc>
        <w:tc>
          <w:tcPr>
            <w:tcW w:w="622" w:type="dxa"/>
            <w:tcBorders>
              <w:top w:val="single" w:color="000000" w:sz="4" w:space="0"/>
              <w:left w:val="single" w:color="000000" w:sz="4" w:space="0"/>
              <w:bottom w:val="single" w:color="000000" w:sz="4" w:space="0"/>
              <w:right w:val="single" w:color="000000" w:sz="4" w:space="0"/>
            </w:tcBorders>
            <w:vAlign w:val="center"/>
          </w:tcPr>
          <w:p w14:paraId="3092EFE3">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845" w:type="dxa"/>
            <w:tcBorders>
              <w:top w:val="single" w:color="000000" w:sz="4" w:space="0"/>
              <w:left w:val="single" w:color="000000" w:sz="4" w:space="0"/>
              <w:bottom w:val="single" w:color="000000" w:sz="4" w:space="0"/>
              <w:right w:val="single" w:color="000000" w:sz="4" w:space="0"/>
            </w:tcBorders>
            <w:vAlign w:val="center"/>
          </w:tcPr>
          <w:p w14:paraId="1C77876E">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61</w:t>
            </w:r>
          </w:p>
        </w:tc>
        <w:tc>
          <w:tcPr>
            <w:tcW w:w="696" w:type="dxa"/>
            <w:tcBorders>
              <w:top w:val="single" w:color="000000" w:sz="4" w:space="0"/>
              <w:left w:val="single" w:color="000000" w:sz="4" w:space="0"/>
              <w:bottom w:val="single" w:color="000000" w:sz="4" w:space="0"/>
              <w:right w:val="single" w:color="000000" w:sz="4" w:space="0"/>
            </w:tcBorders>
            <w:vAlign w:val="center"/>
          </w:tcPr>
          <w:p w14:paraId="3B589356">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13.6%</w:t>
            </w:r>
          </w:p>
        </w:tc>
      </w:tr>
      <w:tr w14:paraId="25E52287">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57F86C9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5</w:t>
            </w:r>
          </w:p>
        </w:tc>
        <w:tc>
          <w:tcPr>
            <w:tcW w:w="5544" w:type="dxa"/>
            <w:tcBorders>
              <w:top w:val="single" w:color="000000" w:sz="4" w:space="0"/>
              <w:left w:val="single" w:color="000000" w:sz="4" w:space="0"/>
              <w:bottom w:val="single" w:color="000000" w:sz="4" w:space="0"/>
              <w:right w:val="single" w:color="000000" w:sz="4" w:space="0"/>
            </w:tcBorders>
            <w:vAlign w:val="center"/>
          </w:tcPr>
          <w:p w14:paraId="646755F8">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中介乱收费：收费项目标准不透明，强制或捆绑收费，或未按中介服务合同约定收取中介服务费、收取合同约定以外的费用等。</w:t>
            </w:r>
          </w:p>
        </w:tc>
        <w:tc>
          <w:tcPr>
            <w:tcW w:w="641" w:type="dxa"/>
            <w:tcBorders>
              <w:top w:val="single" w:color="000000" w:sz="4" w:space="0"/>
              <w:left w:val="single" w:color="000000" w:sz="4" w:space="0"/>
              <w:bottom w:val="single" w:color="000000" w:sz="4" w:space="0"/>
              <w:right w:val="single" w:color="000000" w:sz="4" w:space="0"/>
            </w:tcBorders>
            <w:vAlign w:val="center"/>
          </w:tcPr>
          <w:p w14:paraId="78979F06">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27</w:t>
            </w:r>
          </w:p>
        </w:tc>
        <w:tc>
          <w:tcPr>
            <w:tcW w:w="622" w:type="dxa"/>
            <w:tcBorders>
              <w:top w:val="single" w:color="000000" w:sz="4" w:space="0"/>
              <w:left w:val="single" w:color="000000" w:sz="4" w:space="0"/>
              <w:bottom w:val="single" w:color="000000" w:sz="4" w:space="0"/>
              <w:right w:val="single" w:color="000000" w:sz="4" w:space="0"/>
            </w:tcBorders>
            <w:vAlign w:val="center"/>
          </w:tcPr>
          <w:p w14:paraId="52DACD27">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845" w:type="dxa"/>
            <w:tcBorders>
              <w:top w:val="single" w:color="000000" w:sz="4" w:space="0"/>
              <w:left w:val="single" w:color="000000" w:sz="4" w:space="0"/>
              <w:bottom w:val="single" w:color="000000" w:sz="4" w:space="0"/>
              <w:right w:val="single" w:color="000000" w:sz="4" w:space="0"/>
            </w:tcBorders>
            <w:vAlign w:val="center"/>
          </w:tcPr>
          <w:p w14:paraId="49DC0AF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27</w:t>
            </w:r>
          </w:p>
        </w:tc>
        <w:tc>
          <w:tcPr>
            <w:tcW w:w="696" w:type="dxa"/>
            <w:tcBorders>
              <w:top w:val="single" w:color="000000" w:sz="4" w:space="0"/>
              <w:left w:val="single" w:color="000000" w:sz="4" w:space="0"/>
              <w:bottom w:val="single" w:color="000000" w:sz="4" w:space="0"/>
              <w:right w:val="single" w:color="000000" w:sz="4" w:space="0"/>
            </w:tcBorders>
            <w:vAlign w:val="center"/>
          </w:tcPr>
          <w:p w14:paraId="721ED7AB">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6.0%</w:t>
            </w:r>
          </w:p>
        </w:tc>
      </w:tr>
      <w:tr w14:paraId="0D2F3613">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6FFCB436">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6</w:t>
            </w:r>
          </w:p>
        </w:tc>
        <w:tc>
          <w:tcPr>
            <w:tcW w:w="5544" w:type="dxa"/>
            <w:tcBorders>
              <w:top w:val="single" w:color="000000" w:sz="4" w:space="0"/>
              <w:left w:val="single" w:color="000000" w:sz="4" w:space="0"/>
              <w:bottom w:val="single" w:color="000000" w:sz="4" w:space="0"/>
              <w:right w:val="single" w:color="000000" w:sz="4" w:space="0"/>
            </w:tcBorders>
            <w:vAlign w:val="center"/>
          </w:tcPr>
          <w:p w14:paraId="2ACAC0B9">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隐瞒房屋真实放盘价格（如：以差价全部或部分作中介费、抬高房屋出售价格等）。</w:t>
            </w:r>
          </w:p>
        </w:tc>
        <w:tc>
          <w:tcPr>
            <w:tcW w:w="641" w:type="dxa"/>
            <w:tcBorders>
              <w:top w:val="single" w:color="000000" w:sz="4" w:space="0"/>
              <w:left w:val="single" w:color="000000" w:sz="4" w:space="0"/>
              <w:bottom w:val="single" w:color="000000" w:sz="4" w:space="0"/>
              <w:right w:val="single" w:color="000000" w:sz="4" w:space="0"/>
            </w:tcBorders>
            <w:vAlign w:val="center"/>
          </w:tcPr>
          <w:p w14:paraId="11A79E9B">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19</w:t>
            </w:r>
          </w:p>
        </w:tc>
        <w:tc>
          <w:tcPr>
            <w:tcW w:w="622" w:type="dxa"/>
            <w:tcBorders>
              <w:top w:val="single" w:color="000000" w:sz="4" w:space="0"/>
              <w:left w:val="single" w:color="000000" w:sz="4" w:space="0"/>
              <w:bottom w:val="single" w:color="000000" w:sz="4" w:space="0"/>
              <w:right w:val="single" w:color="000000" w:sz="4" w:space="0"/>
            </w:tcBorders>
            <w:vAlign w:val="center"/>
          </w:tcPr>
          <w:p w14:paraId="788C1C6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w:t>
            </w:r>
          </w:p>
        </w:tc>
        <w:tc>
          <w:tcPr>
            <w:tcW w:w="845" w:type="dxa"/>
            <w:tcBorders>
              <w:top w:val="single" w:color="000000" w:sz="4" w:space="0"/>
              <w:left w:val="single" w:color="000000" w:sz="4" w:space="0"/>
              <w:bottom w:val="single" w:color="000000" w:sz="4" w:space="0"/>
              <w:right w:val="single" w:color="000000" w:sz="4" w:space="0"/>
            </w:tcBorders>
            <w:vAlign w:val="center"/>
          </w:tcPr>
          <w:p w14:paraId="4F2FB9DA">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21</w:t>
            </w:r>
          </w:p>
        </w:tc>
        <w:tc>
          <w:tcPr>
            <w:tcW w:w="696" w:type="dxa"/>
            <w:tcBorders>
              <w:top w:val="single" w:color="000000" w:sz="4" w:space="0"/>
              <w:left w:val="single" w:color="000000" w:sz="4" w:space="0"/>
              <w:bottom w:val="single" w:color="000000" w:sz="4" w:space="0"/>
              <w:right w:val="single" w:color="000000" w:sz="4" w:space="0"/>
            </w:tcBorders>
            <w:vAlign w:val="center"/>
          </w:tcPr>
          <w:p w14:paraId="58C852CC">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4.7%</w:t>
            </w:r>
          </w:p>
        </w:tc>
      </w:tr>
      <w:tr w14:paraId="66905B05">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76B06503">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7</w:t>
            </w:r>
          </w:p>
        </w:tc>
        <w:tc>
          <w:tcPr>
            <w:tcW w:w="5544" w:type="dxa"/>
            <w:tcBorders>
              <w:top w:val="single" w:color="000000" w:sz="4" w:space="0"/>
              <w:left w:val="single" w:color="000000" w:sz="4" w:space="0"/>
              <w:bottom w:val="single" w:color="000000" w:sz="4" w:space="0"/>
              <w:right w:val="single" w:color="000000" w:sz="4" w:space="0"/>
            </w:tcBorders>
            <w:vAlign w:val="center"/>
          </w:tcPr>
          <w:p w14:paraId="095467B9">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未核查或隐瞒交易房屋真实情况（如:楼龄、建筑结构、共有情况、土地出让金、户口占用、房屋存在抵押、凶宅、房屋存在违章、房屋性质）。</w:t>
            </w:r>
          </w:p>
        </w:tc>
        <w:tc>
          <w:tcPr>
            <w:tcW w:w="641" w:type="dxa"/>
            <w:tcBorders>
              <w:top w:val="single" w:color="000000" w:sz="4" w:space="0"/>
              <w:left w:val="single" w:color="000000" w:sz="4" w:space="0"/>
              <w:bottom w:val="single" w:color="000000" w:sz="4" w:space="0"/>
              <w:right w:val="single" w:color="000000" w:sz="4" w:space="0"/>
            </w:tcBorders>
            <w:vAlign w:val="center"/>
          </w:tcPr>
          <w:p w14:paraId="550DAE53">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10</w:t>
            </w:r>
          </w:p>
        </w:tc>
        <w:tc>
          <w:tcPr>
            <w:tcW w:w="622" w:type="dxa"/>
            <w:tcBorders>
              <w:top w:val="single" w:color="000000" w:sz="4" w:space="0"/>
              <w:left w:val="single" w:color="000000" w:sz="4" w:space="0"/>
              <w:bottom w:val="single" w:color="000000" w:sz="4" w:space="0"/>
              <w:right w:val="single" w:color="000000" w:sz="4" w:space="0"/>
            </w:tcBorders>
            <w:vAlign w:val="center"/>
          </w:tcPr>
          <w:p w14:paraId="0E29E9A8">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5</w:t>
            </w:r>
          </w:p>
        </w:tc>
        <w:tc>
          <w:tcPr>
            <w:tcW w:w="845" w:type="dxa"/>
            <w:tcBorders>
              <w:top w:val="single" w:color="000000" w:sz="4" w:space="0"/>
              <w:left w:val="single" w:color="000000" w:sz="4" w:space="0"/>
              <w:bottom w:val="single" w:color="000000" w:sz="4" w:space="0"/>
              <w:right w:val="single" w:color="000000" w:sz="4" w:space="0"/>
            </w:tcBorders>
            <w:vAlign w:val="center"/>
          </w:tcPr>
          <w:p w14:paraId="7F0626A0">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15</w:t>
            </w:r>
          </w:p>
        </w:tc>
        <w:tc>
          <w:tcPr>
            <w:tcW w:w="696" w:type="dxa"/>
            <w:tcBorders>
              <w:top w:val="single" w:color="000000" w:sz="4" w:space="0"/>
              <w:left w:val="single" w:color="000000" w:sz="4" w:space="0"/>
              <w:bottom w:val="single" w:color="000000" w:sz="4" w:space="0"/>
              <w:right w:val="single" w:color="000000" w:sz="4" w:space="0"/>
            </w:tcBorders>
            <w:vAlign w:val="center"/>
          </w:tcPr>
          <w:p w14:paraId="446AE031">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3.3%</w:t>
            </w:r>
          </w:p>
        </w:tc>
      </w:tr>
      <w:tr w14:paraId="1BDDCDB4">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3FC724DF">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8</w:t>
            </w:r>
          </w:p>
        </w:tc>
        <w:tc>
          <w:tcPr>
            <w:tcW w:w="5544" w:type="dxa"/>
            <w:tcBorders>
              <w:top w:val="single" w:color="000000" w:sz="4" w:space="0"/>
              <w:left w:val="single" w:color="000000" w:sz="4" w:space="0"/>
              <w:bottom w:val="single" w:color="000000" w:sz="4" w:space="0"/>
              <w:right w:val="single" w:color="000000" w:sz="4" w:space="0"/>
            </w:tcBorders>
            <w:vAlign w:val="center"/>
          </w:tcPr>
          <w:p w14:paraId="37D12CAD">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协助制作不同价款合同（如：为少交税或获得更多贷款等）。</w:t>
            </w:r>
          </w:p>
        </w:tc>
        <w:tc>
          <w:tcPr>
            <w:tcW w:w="641" w:type="dxa"/>
            <w:tcBorders>
              <w:top w:val="single" w:color="000000" w:sz="4" w:space="0"/>
              <w:left w:val="single" w:color="000000" w:sz="4" w:space="0"/>
              <w:bottom w:val="single" w:color="000000" w:sz="4" w:space="0"/>
              <w:right w:val="single" w:color="000000" w:sz="4" w:space="0"/>
            </w:tcBorders>
            <w:vAlign w:val="center"/>
          </w:tcPr>
          <w:p w14:paraId="6AD3F9B1">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12</w:t>
            </w:r>
          </w:p>
        </w:tc>
        <w:tc>
          <w:tcPr>
            <w:tcW w:w="622" w:type="dxa"/>
            <w:tcBorders>
              <w:top w:val="single" w:color="000000" w:sz="4" w:space="0"/>
              <w:left w:val="single" w:color="000000" w:sz="4" w:space="0"/>
              <w:bottom w:val="single" w:color="000000" w:sz="4" w:space="0"/>
              <w:right w:val="single" w:color="000000" w:sz="4" w:space="0"/>
            </w:tcBorders>
            <w:vAlign w:val="center"/>
          </w:tcPr>
          <w:p w14:paraId="3B3B2C1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845" w:type="dxa"/>
            <w:tcBorders>
              <w:top w:val="single" w:color="000000" w:sz="4" w:space="0"/>
              <w:left w:val="single" w:color="000000" w:sz="4" w:space="0"/>
              <w:bottom w:val="single" w:color="000000" w:sz="4" w:space="0"/>
              <w:right w:val="single" w:color="000000" w:sz="4" w:space="0"/>
            </w:tcBorders>
            <w:vAlign w:val="center"/>
          </w:tcPr>
          <w:p w14:paraId="5ED1BCDD">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13</w:t>
            </w:r>
          </w:p>
        </w:tc>
        <w:tc>
          <w:tcPr>
            <w:tcW w:w="696" w:type="dxa"/>
            <w:tcBorders>
              <w:top w:val="single" w:color="000000" w:sz="4" w:space="0"/>
              <w:left w:val="single" w:color="000000" w:sz="4" w:space="0"/>
              <w:bottom w:val="single" w:color="000000" w:sz="4" w:space="0"/>
              <w:right w:val="single" w:color="000000" w:sz="4" w:space="0"/>
            </w:tcBorders>
            <w:vAlign w:val="center"/>
          </w:tcPr>
          <w:p w14:paraId="27591706">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2.9%</w:t>
            </w:r>
          </w:p>
        </w:tc>
      </w:tr>
      <w:tr w14:paraId="113EA04D">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1829A6AB">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9</w:t>
            </w:r>
          </w:p>
        </w:tc>
        <w:tc>
          <w:tcPr>
            <w:tcW w:w="5544" w:type="dxa"/>
            <w:tcBorders>
              <w:top w:val="single" w:color="000000" w:sz="4" w:space="0"/>
              <w:left w:val="single" w:color="000000" w:sz="4" w:space="0"/>
              <w:bottom w:val="single" w:color="000000" w:sz="4" w:space="0"/>
              <w:right w:val="single" w:color="000000" w:sz="4" w:space="0"/>
            </w:tcBorders>
            <w:vAlign w:val="center"/>
          </w:tcPr>
          <w:p w14:paraId="295A426B">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违反限贷政策提供中介服务（如：协助或诱导当事人提供虚假贷款证明材料等、协助办理首付贷、消费贷等违规金融服务）。</w:t>
            </w:r>
          </w:p>
        </w:tc>
        <w:tc>
          <w:tcPr>
            <w:tcW w:w="641" w:type="dxa"/>
            <w:tcBorders>
              <w:top w:val="single" w:color="000000" w:sz="4" w:space="0"/>
              <w:left w:val="single" w:color="000000" w:sz="4" w:space="0"/>
              <w:bottom w:val="single" w:color="000000" w:sz="4" w:space="0"/>
              <w:right w:val="single" w:color="000000" w:sz="4" w:space="0"/>
            </w:tcBorders>
            <w:vAlign w:val="center"/>
          </w:tcPr>
          <w:p w14:paraId="0B740D1A">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7</w:t>
            </w:r>
          </w:p>
        </w:tc>
        <w:tc>
          <w:tcPr>
            <w:tcW w:w="622" w:type="dxa"/>
            <w:tcBorders>
              <w:top w:val="single" w:color="000000" w:sz="4" w:space="0"/>
              <w:left w:val="single" w:color="000000" w:sz="4" w:space="0"/>
              <w:bottom w:val="single" w:color="000000" w:sz="4" w:space="0"/>
              <w:right w:val="single" w:color="000000" w:sz="4" w:space="0"/>
            </w:tcBorders>
            <w:vAlign w:val="center"/>
          </w:tcPr>
          <w:p w14:paraId="0AD8D187">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845" w:type="dxa"/>
            <w:tcBorders>
              <w:top w:val="single" w:color="000000" w:sz="4" w:space="0"/>
              <w:left w:val="single" w:color="000000" w:sz="4" w:space="0"/>
              <w:bottom w:val="single" w:color="000000" w:sz="4" w:space="0"/>
              <w:right w:val="single" w:color="000000" w:sz="4" w:space="0"/>
            </w:tcBorders>
            <w:vAlign w:val="center"/>
          </w:tcPr>
          <w:p w14:paraId="165ADE6F">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w:t>
            </w:r>
          </w:p>
        </w:tc>
        <w:tc>
          <w:tcPr>
            <w:tcW w:w="696" w:type="dxa"/>
            <w:tcBorders>
              <w:top w:val="single" w:color="000000" w:sz="4" w:space="0"/>
              <w:left w:val="single" w:color="000000" w:sz="4" w:space="0"/>
              <w:bottom w:val="single" w:color="000000" w:sz="4" w:space="0"/>
              <w:right w:val="single" w:color="000000" w:sz="4" w:space="0"/>
            </w:tcBorders>
            <w:vAlign w:val="center"/>
          </w:tcPr>
          <w:p w14:paraId="14DCE8E2">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1.8%</w:t>
            </w:r>
          </w:p>
        </w:tc>
      </w:tr>
      <w:tr w14:paraId="4F71EF61">
        <w:tblPrEx>
          <w:tblCellMar>
            <w:top w:w="0" w:type="dxa"/>
            <w:left w:w="0" w:type="dxa"/>
            <w:bottom w:w="0" w:type="dxa"/>
            <w:right w:w="0"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65C99BCC">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10</w:t>
            </w:r>
          </w:p>
        </w:tc>
        <w:tc>
          <w:tcPr>
            <w:tcW w:w="5544" w:type="dxa"/>
            <w:tcBorders>
              <w:top w:val="single" w:color="000000" w:sz="4" w:space="0"/>
              <w:left w:val="single" w:color="000000" w:sz="4" w:space="0"/>
              <w:bottom w:val="single" w:color="000000" w:sz="4" w:space="0"/>
              <w:right w:val="single" w:color="000000" w:sz="4" w:space="0"/>
            </w:tcBorders>
            <w:vAlign w:val="center"/>
          </w:tcPr>
          <w:p w14:paraId="044AA6FA">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房地产中介机构（或从业人员）代收代管存量房交易资金。</w:t>
            </w:r>
          </w:p>
        </w:tc>
        <w:tc>
          <w:tcPr>
            <w:tcW w:w="641" w:type="dxa"/>
            <w:tcBorders>
              <w:top w:val="single" w:color="000000" w:sz="4" w:space="0"/>
              <w:left w:val="single" w:color="000000" w:sz="4" w:space="0"/>
              <w:bottom w:val="single" w:color="000000" w:sz="4" w:space="0"/>
              <w:right w:val="single" w:color="000000" w:sz="4" w:space="0"/>
            </w:tcBorders>
            <w:vAlign w:val="center"/>
          </w:tcPr>
          <w:p w14:paraId="018DB2C1">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w:t>
            </w:r>
          </w:p>
        </w:tc>
        <w:tc>
          <w:tcPr>
            <w:tcW w:w="622" w:type="dxa"/>
            <w:tcBorders>
              <w:top w:val="single" w:color="000000" w:sz="4" w:space="0"/>
              <w:left w:val="single" w:color="000000" w:sz="4" w:space="0"/>
              <w:bottom w:val="single" w:color="000000" w:sz="4" w:space="0"/>
              <w:right w:val="single" w:color="000000" w:sz="4" w:space="0"/>
            </w:tcBorders>
            <w:vAlign w:val="center"/>
          </w:tcPr>
          <w:p w14:paraId="7EF4742A">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845" w:type="dxa"/>
            <w:tcBorders>
              <w:top w:val="single" w:color="000000" w:sz="4" w:space="0"/>
              <w:left w:val="single" w:color="000000" w:sz="4" w:space="0"/>
              <w:bottom w:val="single" w:color="000000" w:sz="4" w:space="0"/>
              <w:right w:val="single" w:color="000000" w:sz="4" w:space="0"/>
            </w:tcBorders>
            <w:vAlign w:val="center"/>
          </w:tcPr>
          <w:p w14:paraId="024EEAFA">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w:t>
            </w:r>
          </w:p>
        </w:tc>
        <w:tc>
          <w:tcPr>
            <w:tcW w:w="696" w:type="dxa"/>
            <w:tcBorders>
              <w:top w:val="single" w:color="000000" w:sz="4" w:space="0"/>
              <w:left w:val="single" w:color="000000" w:sz="4" w:space="0"/>
              <w:bottom w:val="single" w:color="000000" w:sz="4" w:space="0"/>
              <w:right w:val="single" w:color="000000" w:sz="4" w:space="0"/>
            </w:tcBorders>
            <w:vAlign w:val="center"/>
          </w:tcPr>
          <w:p w14:paraId="137B91BE">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1.3%</w:t>
            </w:r>
          </w:p>
        </w:tc>
      </w:tr>
      <w:tr w14:paraId="26DED189">
        <w:tblPrEx>
          <w:tblCellMar>
            <w:top w:w="0" w:type="dxa"/>
            <w:left w:w="0" w:type="dxa"/>
            <w:bottom w:w="0" w:type="dxa"/>
            <w:right w:w="0" w:type="dxa"/>
          </w:tblCellMar>
        </w:tblPrEx>
        <w:trPr>
          <w:trHeight w:val="23"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62976605">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11</w:t>
            </w:r>
          </w:p>
        </w:tc>
        <w:tc>
          <w:tcPr>
            <w:tcW w:w="5544" w:type="dxa"/>
            <w:tcBorders>
              <w:top w:val="single" w:color="000000" w:sz="4" w:space="0"/>
              <w:left w:val="single" w:color="000000" w:sz="4" w:space="0"/>
              <w:bottom w:val="single" w:color="000000" w:sz="4" w:space="0"/>
              <w:right w:val="single" w:color="000000" w:sz="4" w:space="0"/>
            </w:tcBorders>
            <w:vAlign w:val="center"/>
          </w:tcPr>
          <w:p w14:paraId="288F7EFC">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虚假口头承诺，签约后无法兑现，要求退中介费、定金等。</w:t>
            </w:r>
          </w:p>
        </w:tc>
        <w:tc>
          <w:tcPr>
            <w:tcW w:w="641" w:type="dxa"/>
            <w:tcBorders>
              <w:top w:val="single" w:color="000000" w:sz="4" w:space="0"/>
              <w:left w:val="single" w:color="000000" w:sz="4" w:space="0"/>
              <w:bottom w:val="single" w:color="000000" w:sz="4" w:space="0"/>
              <w:right w:val="single" w:color="000000" w:sz="4" w:space="0"/>
            </w:tcBorders>
            <w:vAlign w:val="center"/>
          </w:tcPr>
          <w:p w14:paraId="59EFFD0F">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w:t>
            </w:r>
          </w:p>
        </w:tc>
        <w:tc>
          <w:tcPr>
            <w:tcW w:w="622" w:type="dxa"/>
            <w:tcBorders>
              <w:top w:val="single" w:color="000000" w:sz="4" w:space="0"/>
              <w:left w:val="single" w:color="000000" w:sz="4" w:space="0"/>
              <w:bottom w:val="single" w:color="000000" w:sz="4" w:space="0"/>
              <w:right w:val="single" w:color="000000" w:sz="4" w:space="0"/>
            </w:tcBorders>
            <w:vAlign w:val="center"/>
          </w:tcPr>
          <w:p w14:paraId="55AC71C2">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845" w:type="dxa"/>
            <w:tcBorders>
              <w:top w:val="single" w:color="000000" w:sz="4" w:space="0"/>
              <w:left w:val="single" w:color="000000" w:sz="4" w:space="0"/>
              <w:bottom w:val="single" w:color="000000" w:sz="4" w:space="0"/>
              <w:right w:val="single" w:color="000000" w:sz="4" w:space="0"/>
            </w:tcBorders>
            <w:vAlign w:val="center"/>
          </w:tcPr>
          <w:p w14:paraId="20F98A13">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w:t>
            </w:r>
          </w:p>
        </w:tc>
        <w:tc>
          <w:tcPr>
            <w:tcW w:w="696" w:type="dxa"/>
            <w:tcBorders>
              <w:top w:val="single" w:color="000000" w:sz="4" w:space="0"/>
              <w:left w:val="single" w:color="000000" w:sz="4" w:space="0"/>
              <w:bottom w:val="single" w:color="000000" w:sz="4" w:space="0"/>
              <w:right w:val="single" w:color="000000" w:sz="4" w:space="0"/>
            </w:tcBorders>
            <w:vAlign w:val="center"/>
          </w:tcPr>
          <w:p w14:paraId="6474B885">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0.9%</w:t>
            </w:r>
          </w:p>
        </w:tc>
      </w:tr>
      <w:tr w14:paraId="6135443B">
        <w:tblPrEx>
          <w:tblCellMar>
            <w:top w:w="0" w:type="dxa"/>
            <w:left w:w="0" w:type="dxa"/>
            <w:bottom w:w="0" w:type="dxa"/>
            <w:right w:w="0"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11F0CA08">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12</w:t>
            </w:r>
          </w:p>
        </w:tc>
        <w:tc>
          <w:tcPr>
            <w:tcW w:w="5544" w:type="dxa"/>
            <w:tcBorders>
              <w:top w:val="single" w:color="000000" w:sz="4" w:space="0"/>
              <w:left w:val="single" w:color="000000" w:sz="4" w:space="0"/>
              <w:bottom w:val="single" w:color="000000" w:sz="4" w:space="0"/>
              <w:right w:val="single" w:color="000000" w:sz="4" w:space="0"/>
            </w:tcBorders>
            <w:vAlign w:val="center"/>
          </w:tcPr>
          <w:p w14:paraId="0FD7C466">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中介机构未备案或从业人员无信用信息卡执业等。</w:t>
            </w:r>
          </w:p>
        </w:tc>
        <w:tc>
          <w:tcPr>
            <w:tcW w:w="641" w:type="dxa"/>
            <w:tcBorders>
              <w:top w:val="single" w:color="000000" w:sz="4" w:space="0"/>
              <w:left w:val="single" w:color="000000" w:sz="4" w:space="0"/>
              <w:bottom w:val="single" w:color="000000" w:sz="4" w:space="0"/>
              <w:right w:val="single" w:color="000000" w:sz="4" w:space="0"/>
            </w:tcBorders>
            <w:vAlign w:val="center"/>
          </w:tcPr>
          <w:p w14:paraId="3B5BDF84">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w:t>
            </w:r>
          </w:p>
        </w:tc>
        <w:tc>
          <w:tcPr>
            <w:tcW w:w="622" w:type="dxa"/>
            <w:tcBorders>
              <w:top w:val="single" w:color="000000" w:sz="4" w:space="0"/>
              <w:left w:val="single" w:color="000000" w:sz="4" w:space="0"/>
              <w:bottom w:val="single" w:color="000000" w:sz="4" w:space="0"/>
              <w:right w:val="single" w:color="000000" w:sz="4" w:space="0"/>
            </w:tcBorders>
            <w:vAlign w:val="center"/>
          </w:tcPr>
          <w:p w14:paraId="4F608AA5">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845" w:type="dxa"/>
            <w:tcBorders>
              <w:top w:val="single" w:color="000000" w:sz="4" w:space="0"/>
              <w:left w:val="single" w:color="000000" w:sz="4" w:space="0"/>
              <w:bottom w:val="single" w:color="000000" w:sz="4" w:space="0"/>
              <w:right w:val="single" w:color="000000" w:sz="4" w:space="0"/>
            </w:tcBorders>
            <w:vAlign w:val="center"/>
          </w:tcPr>
          <w:p w14:paraId="413C68A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696" w:type="dxa"/>
            <w:tcBorders>
              <w:top w:val="single" w:color="000000" w:sz="4" w:space="0"/>
              <w:left w:val="single" w:color="000000" w:sz="4" w:space="0"/>
              <w:bottom w:val="single" w:color="000000" w:sz="4" w:space="0"/>
              <w:right w:val="single" w:color="000000" w:sz="4" w:space="0"/>
            </w:tcBorders>
            <w:vAlign w:val="center"/>
          </w:tcPr>
          <w:p w14:paraId="0FD6B0A0">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0.7%</w:t>
            </w:r>
          </w:p>
        </w:tc>
      </w:tr>
      <w:tr w14:paraId="012B966D">
        <w:tblPrEx>
          <w:tblCellMar>
            <w:top w:w="0" w:type="dxa"/>
            <w:left w:w="0" w:type="dxa"/>
            <w:bottom w:w="0" w:type="dxa"/>
            <w:right w:w="0"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4EF9580D">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13</w:t>
            </w:r>
          </w:p>
        </w:tc>
        <w:tc>
          <w:tcPr>
            <w:tcW w:w="5544" w:type="dxa"/>
            <w:tcBorders>
              <w:top w:val="single" w:color="000000" w:sz="4" w:space="0"/>
              <w:left w:val="single" w:color="000000" w:sz="4" w:space="0"/>
              <w:bottom w:val="single" w:color="000000" w:sz="4" w:space="0"/>
              <w:right w:val="single" w:color="000000" w:sz="4" w:space="0"/>
            </w:tcBorders>
            <w:vAlign w:val="center"/>
          </w:tcPr>
          <w:p w14:paraId="3B42051E">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从业人员私自收取交易资金（诚意金、定金、押金、租金、中介费），请求协助退费。</w:t>
            </w:r>
          </w:p>
        </w:tc>
        <w:tc>
          <w:tcPr>
            <w:tcW w:w="641" w:type="dxa"/>
            <w:tcBorders>
              <w:top w:val="single" w:color="000000" w:sz="4" w:space="0"/>
              <w:left w:val="single" w:color="000000" w:sz="4" w:space="0"/>
              <w:bottom w:val="single" w:color="000000" w:sz="4" w:space="0"/>
              <w:right w:val="single" w:color="000000" w:sz="4" w:space="0"/>
            </w:tcBorders>
            <w:vAlign w:val="center"/>
          </w:tcPr>
          <w:p w14:paraId="6671EA1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622" w:type="dxa"/>
            <w:tcBorders>
              <w:top w:val="single" w:color="000000" w:sz="4" w:space="0"/>
              <w:left w:val="single" w:color="000000" w:sz="4" w:space="0"/>
              <w:bottom w:val="single" w:color="000000" w:sz="4" w:space="0"/>
              <w:right w:val="single" w:color="000000" w:sz="4" w:space="0"/>
            </w:tcBorders>
            <w:vAlign w:val="center"/>
          </w:tcPr>
          <w:p w14:paraId="13DCDAAE">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845" w:type="dxa"/>
            <w:tcBorders>
              <w:top w:val="single" w:color="000000" w:sz="4" w:space="0"/>
              <w:left w:val="single" w:color="000000" w:sz="4" w:space="0"/>
              <w:bottom w:val="single" w:color="000000" w:sz="4" w:space="0"/>
              <w:right w:val="single" w:color="000000" w:sz="4" w:space="0"/>
            </w:tcBorders>
            <w:vAlign w:val="center"/>
          </w:tcPr>
          <w:p w14:paraId="291B2F57">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696" w:type="dxa"/>
            <w:tcBorders>
              <w:top w:val="single" w:color="000000" w:sz="4" w:space="0"/>
              <w:left w:val="single" w:color="000000" w:sz="4" w:space="0"/>
              <w:bottom w:val="single" w:color="000000" w:sz="4" w:space="0"/>
              <w:right w:val="single" w:color="000000" w:sz="4" w:space="0"/>
            </w:tcBorders>
            <w:vAlign w:val="center"/>
          </w:tcPr>
          <w:p w14:paraId="0143A0A1">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0.7%</w:t>
            </w:r>
          </w:p>
        </w:tc>
      </w:tr>
      <w:tr w14:paraId="13879830">
        <w:tblPrEx>
          <w:tblCellMar>
            <w:top w:w="0" w:type="dxa"/>
            <w:left w:w="0" w:type="dxa"/>
            <w:bottom w:w="0" w:type="dxa"/>
            <w:right w:w="0" w:type="dxa"/>
          </w:tblCellMar>
        </w:tblPrEx>
        <w:trPr>
          <w:trHeight w:val="90"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4889E7EA">
            <w:pPr>
              <w:jc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14</w:t>
            </w:r>
          </w:p>
        </w:tc>
        <w:tc>
          <w:tcPr>
            <w:tcW w:w="5544" w:type="dxa"/>
            <w:tcBorders>
              <w:top w:val="single" w:color="000000" w:sz="4" w:space="0"/>
              <w:left w:val="single" w:color="000000" w:sz="4" w:space="0"/>
              <w:bottom w:val="single" w:color="000000" w:sz="4" w:space="0"/>
              <w:right w:val="single" w:color="000000" w:sz="4" w:space="0"/>
            </w:tcBorders>
            <w:vAlign w:val="center"/>
          </w:tcPr>
          <w:p w14:paraId="512DE687">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未如实告知房屋的市场参考价格。</w:t>
            </w:r>
          </w:p>
        </w:tc>
        <w:tc>
          <w:tcPr>
            <w:tcW w:w="641" w:type="dxa"/>
            <w:tcBorders>
              <w:top w:val="single" w:color="000000" w:sz="4" w:space="0"/>
              <w:left w:val="single" w:color="000000" w:sz="4" w:space="0"/>
              <w:bottom w:val="single" w:color="000000" w:sz="4" w:space="0"/>
              <w:right w:val="single" w:color="000000" w:sz="4" w:space="0"/>
            </w:tcBorders>
            <w:vAlign w:val="center"/>
          </w:tcPr>
          <w:p w14:paraId="55EF2D0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622" w:type="dxa"/>
            <w:tcBorders>
              <w:top w:val="single" w:color="000000" w:sz="4" w:space="0"/>
              <w:left w:val="single" w:color="000000" w:sz="4" w:space="0"/>
              <w:bottom w:val="single" w:color="000000" w:sz="4" w:space="0"/>
              <w:right w:val="single" w:color="000000" w:sz="4" w:space="0"/>
            </w:tcBorders>
            <w:vAlign w:val="center"/>
          </w:tcPr>
          <w:p w14:paraId="0F2C625D">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845" w:type="dxa"/>
            <w:tcBorders>
              <w:top w:val="single" w:color="000000" w:sz="4" w:space="0"/>
              <w:left w:val="single" w:color="000000" w:sz="4" w:space="0"/>
              <w:bottom w:val="single" w:color="000000" w:sz="4" w:space="0"/>
              <w:right w:val="single" w:color="000000" w:sz="4" w:space="0"/>
            </w:tcBorders>
            <w:vAlign w:val="center"/>
          </w:tcPr>
          <w:p w14:paraId="0BE563AC">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696" w:type="dxa"/>
            <w:tcBorders>
              <w:top w:val="single" w:color="000000" w:sz="4" w:space="0"/>
              <w:left w:val="single" w:color="000000" w:sz="4" w:space="0"/>
              <w:bottom w:val="single" w:color="000000" w:sz="4" w:space="0"/>
              <w:right w:val="single" w:color="000000" w:sz="4" w:space="0"/>
            </w:tcBorders>
            <w:vAlign w:val="center"/>
          </w:tcPr>
          <w:p w14:paraId="7B57CEB4">
            <w:pPr>
              <w:widowControl/>
              <w:jc w:val="right"/>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0.7%</w:t>
            </w:r>
          </w:p>
        </w:tc>
      </w:tr>
      <w:tr w14:paraId="2947186E">
        <w:tblPrEx>
          <w:tblCellMar>
            <w:top w:w="0" w:type="dxa"/>
            <w:left w:w="0" w:type="dxa"/>
            <w:bottom w:w="0" w:type="dxa"/>
            <w:right w:w="0" w:type="dxa"/>
          </w:tblCellMar>
        </w:tblPrEx>
        <w:trPr>
          <w:trHeight w:val="372"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5E4A5DC8">
            <w:pPr>
              <w:widowControl/>
              <w:jc w:val="center"/>
              <w:rPr>
                <w:rFonts w:ascii="Times New Roman" w:hAnsi="Times New Roman" w:eastAsia="仿宋"/>
                <w:bCs/>
                <w:color w:val="000000" w:themeColor="text1"/>
                <w:sz w:val="24"/>
                <w:szCs w:val="24"/>
                <w14:textFill>
                  <w14:solidFill>
                    <w14:schemeClr w14:val="tx1"/>
                  </w14:solidFill>
                </w14:textFill>
              </w:rPr>
            </w:pPr>
            <w:r>
              <w:rPr>
                <w:rFonts w:ascii="Times New Roman" w:hAnsi="Times New Roman" w:eastAsia="仿宋"/>
                <w:bCs/>
                <w:color w:val="000000" w:themeColor="text1"/>
                <w:sz w:val="24"/>
                <w:szCs w:val="24"/>
                <w14:textFill>
                  <w14:solidFill>
                    <w14:schemeClr w14:val="tx1"/>
                  </w14:solidFill>
                </w14:textFill>
              </w:rPr>
              <w:t>15</w:t>
            </w:r>
          </w:p>
        </w:tc>
        <w:tc>
          <w:tcPr>
            <w:tcW w:w="5544" w:type="dxa"/>
            <w:tcBorders>
              <w:top w:val="single" w:color="000000" w:sz="4" w:space="0"/>
              <w:left w:val="single" w:color="000000" w:sz="4" w:space="0"/>
              <w:bottom w:val="single" w:color="000000" w:sz="4" w:space="0"/>
              <w:right w:val="single" w:color="000000" w:sz="4" w:space="0"/>
            </w:tcBorders>
            <w:vAlign w:val="center"/>
          </w:tcPr>
          <w:p w14:paraId="2C2FF269">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为法律禁止交易的房屋提供中介服务（如：已查封、小产权房等）。</w:t>
            </w:r>
          </w:p>
        </w:tc>
        <w:tc>
          <w:tcPr>
            <w:tcW w:w="641" w:type="dxa"/>
            <w:tcBorders>
              <w:top w:val="single" w:color="000000" w:sz="4" w:space="0"/>
              <w:left w:val="single" w:color="000000" w:sz="4" w:space="0"/>
              <w:bottom w:val="single" w:color="000000" w:sz="4" w:space="0"/>
              <w:right w:val="single" w:color="000000" w:sz="4" w:space="0"/>
            </w:tcBorders>
            <w:vAlign w:val="center"/>
          </w:tcPr>
          <w:p w14:paraId="15A64EE0">
            <w:pPr>
              <w:widowControl/>
              <w:jc w:val="center"/>
              <w:textAlignment w:val="center"/>
              <w:rPr>
                <w:rFonts w:ascii="Times New Roman" w:hAnsi="Times New Roman" w:eastAsia="仿宋"/>
                <w:b/>
                <w:bCs/>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w:t>
            </w:r>
          </w:p>
        </w:tc>
        <w:tc>
          <w:tcPr>
            <w:tcW w:w="622" w:type="dxa"/>
            <w:tcBorders>
              <w:top w:val="single" w:color="000000" w:sz="4" w:space="0"/>
              <w:left w:val="single" w:color="000000" w:sz="4" w:space="0"/>
              <w:bottom w:val="single" w:color="000000" w:sz="4" w:space="0"/>
              <w:right w:val="single" w:color="000000" w:sz="4" w:space="0"/>
            </w:tcBorders>
            <w:vAlign w:val="center"/>
          </w:tcPr>
          <w:p w14:paraId="72D3DC7A">
            <w:pPr>
              <w:widowControl/>
              <w:jc w:val="center"/>
              <w:textAlignment w:val="center"/>
              <w:rPr>
                <w:rFonts w:ascii="Times New Roman" w:hAnsi="Times New Roman" w:eastAsia="仿宋"/>
                <w:b/>
                <w:bCs/>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845" w:type="dxa"/>
            <w:tcBorders>
              <w:top w:val="single" w:color="000000" w:sz="4" w:space="0"/>
              <w:left w:val="single" w:color="000000" w:sz="4" w:space="0"/>
              <w:bottom w:val="single" w:color="000000" w:sz="4" w:space="0"/>
              <w:right w:val="single" w:color="000000" w:sz="4" w:space="0"/>
            </w:tcBorders>
            <w:vAlign w:val="center"/>
          </w:tcPr>
          <w:p w14:paraId="0E7CEA87">
            <w:pPr>
              <w:widowControl/>
              <w:jc w:val="center"/>
              <w:textAlignment w:val="center"/>
              <w:rPr>
                <w:rFonts w:ascii="Times New Roman" w:hAnsi="Times New Roman" w:eastAsia="仿宋"/>
                <w:b/>
                <w:bCs/>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w:t>
            </w:r>
          </w:p>
        </w:tc>
        <w:tc>
          <w:tcPr>
            <w:tcW w:w="696" w:type="dxa"/>
            <w:tcBorders>
              <w:top w:val="single" w:color="000000" w:sz="4" w:space="0"/>
              <w:left w:val="single" w:color="000000" w:sz="4" w:space="0"/>
              <w:bottom w:val="single" w:color="000000" w:sz="4" w:space="0"/>
              <w:right w:val="single" w:color="000000" w:sz="4" w:space="0"/>
            </w:tcBorders>
            <w:vAlign w:val="center"/>
          </w:tcPr>
          <w:p w14:paraId="1F355698">
            <w:pPr>
              <w:widowControl/>
              <w:jc w:val="right"/>
              <w:textAlignment w:val="center"/>
              <w:rPr>
                <w:rFonts w:ascii="Times New Roman" w:hAnsi="Times New Roman" w:eastAsia="仿宋"/>
                <w:b/>
                <w:bCs/>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0.4%</w:t>
            </w:r>
          </w:p>
        </w:tc>
      </w:tr>
      <w:tr w14:paraId="59353A80">
        <w:tblPrEx>
          <w:tblCellMar>
            <w:top w:w="0" w:type="dxa"/>
            <w:left w:w="0" w:type="dxa"/>
            <w:bottom w:w="0" w:type="dxa"/>
            <w:right w:w="0" w:type="dxa"/>
          </w:tblCellMar>
        </w:tblPrEx>
        <w:trPr>
          <w:trHeight w:val="372" w:hRule="atLeast"/>
        </w:trPr>
        <w:tc>
          <w:tcPr>
            <w:tcW w:w="6253" w:type="dxa"/>
            <w:gridSpan w:val="2"/>
            <w:tcBorders>
              <w:top w:val="single" w:color="000000" w:sz="4" w:space="0"/>
              <w:left w:val="single" w:color="000000" w:sz="4" w:space="0"/>
              <w:bottom w:val="single" w:color="000000" w:sz="4" w:space="0"/>
              <w:right w:val="single" w:color="000000" w:sz="4" w:space="0"/>
            </w:tcBorders>
            <w:vAlign w:val="center"/>
          </w:tcPr>
          <w:p w14:paraId="41CA4ADA">
            <w:pPr>
              <w:widowControl/>
              <w:jc w:val="center"/>
              <w:rPr>
                <w:rFonts w:ascii="Times New Roman" w:hAnsi="Times New Roman" w:eastAsia="仿宋"/>
                <w:b/>
                <w:bCs/>
                <w:color w:val="000000" w:themeColor="text1"/>
                <w:sz w:val="24"/>
                <w:szCs w:val="24"/>
                <w14:textFill>
                  <w14:solidFill>
                    <w14:schemeClr w14:val="tx1"/>
                  </w14:solidFill>
                </w14:textFill>
              </w:rPr>
            </w:pPr>
            <w:r>
              <w:rPr>
                <w:rFonts w:ascii="Times New Roman" w:hAnsi="Times New Roman" w:eastAsia="仿宋"/>
                <w:b/>
                <w:bCs/>
                <w:color w:val="000000" w:themeColor="text1"/>
                <w:sz w:val="24"/>
                <w:szCs w:val="24"/>
                <w14:textFill>
                  <w14:solidFill>
                    <w14:schemeClr w14:val="tx1"/>
                  </w14:solidFill>
                </w14:textFill>
              </w:rPr>
              <w:t>合计</w:t>
            </w:r>
          </w:p>
        </w:tc>
        <w:tc>
          <w:tcPr>
            <w:tcW w:w="641" w:type="dxa"/>
            <w:tcBorders>
              <w:top w:val="single" w:color="000000" w:sz="4" w:space="0"/>
              <w:left w:val="single" w:color="000000" w:sz="4" w:space="0"/>
              <w:bottom w:val="single" w:color="000000" w:sz="4" w:space="0"/>
              <w:right w:val="single" w:color="000000" w:sz="4" w:space="0"/>
            </w:tcBorders>
            <w:vAlign w:val="center"/>
          </w:tcPr>
          <w:p w14:paraId="6E23C511">
            <w:pPr>
              <w:widowControl/>
              <w:jc w:val="center"/>
              <w:textAlignment w:val="center"/>
              <w:rPr>
                <w:rFonts w:ascii="Times New Roman" w:hAnsi="Times New Roman" w:eastAsia="仿宋"/>
                <w:b/>
                <w:bCs/>
                <w:color w:val="000000" w:themeColor="text1"/>
                <w:kern w:val="0"/>
                <w:sz w:val="24"/>
                <w:szCs w:val="24"/>
                <w:lang w:bidi="ar"/>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427</w:t>
            </w:r>
          </w:p>
        </w:tc>
        <w:tc>
          <w:tcPr>
            <w:tcW w:w="622" w:type="dxa"/>
            <w:tcBorders>
              <w:top w:val="single" w:color="000000" w:sz="4" w:space="0"/>
              <w:left w:val="single" w:color="000000" w:sz="4" w:space="0"/>
              <w:bottom w:val="single" w:color="000000" w:sz="4" w:space="0"/>
              <w:right w:val="single" w:color="000000" w:sz="4" w:space="0"/>
            </w:tcBorders>
            <w:vAlign w:val="center"/>
          </w:tcPr>
          <w:p w14:paraId="3673421A">
            <w:pPr>
              <w:widowControl/>
              <w:jc w:val="center"/>
              <w:textAlignment w:val="center"/>
              <w:rPr>
                <w:rFonts w:ascii="Times New Roman" w:hAnsi="Times New Roman" w:eastAsia="仿宋"/>
                <w:b/>
                <w:bCs/>
                <w:color w:val="000000" w:themeColor="text1"/>
                <w:kern w:val="0"/>
                <w:sz w:val="24"/>
                <w:szCs w:val="24"/>
                <w:lang w:bidi="ar"/>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22</w:t>
            </w:r>
          </w:p>
        </w:tc>
        <w:tc>
          <w:tcPr>
            <w:tcW w:w="845" w:type="dxa"/>
            <w:tcBorders>
              <w:top w:val="single" w:color="000000" w:sz="4" w:space="0"/>
              <w:left w:val="single" w:color="000000" w:sz="4" w:space="0"/>
              <w:bottom w:val="single" w:color="000000" w:sz="4" w:space="0"/>
              <w:right w:val="single" w:color="000000" w:sz="4" w:space="0"/>
            </w:tcBorders>
            <w:vAlign w:val="center"/>
          </w:tcPr>
          <w:p w14:paraId="7E81001A">
            <w:pPr>
              <w:widowControl/>
              <w:jc w:val="center"/>
              <w:textAlignment w:val="center"/>
              <w:rPr>
                <w:rFonts w:ascii="Times New Roman" w:hAnsi="Times New Roman" w:eastAsia="仿宋"/>
                <w:b/>
                <w:bCs/>
                <w:color w:val="000000" w:themeColor="text1"/>
                <w:kern w:val="0"/>
                <w:sz w:val="24"/>
                <w:szCs w:val="24"/>
                <w:lang w:bidi="ar"/>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449</w:t>
            </w:r>
          </w:p>
        </w:tc>
        <w:tc>
          <w:tcPr>
            <w:tcW w:w="696" w:type="dxa"/>
            <w:tcBorders>
              <w:top w:val="single" w:color="000000" w:sz="4" w:space="0"/>
              <w:left w:val="single" w:color="000000" w:sz="4" w:space="0"/>
              <w:bottom w:val="single" w:color="000000" w:sz="4" w:space="0"/>
              <w:right w:val="single" w:color="000000" w:sz="4" w:space="0"/>
            </w:tcBorders>
            <w:vAlign w:val="center"/>
          </w:tcPr>
          <w:p w14:paraId="656691FB">
            <w:pPr>
              <w:jc w:val="center"/>
              <w:rPr>
                <w:rFonts w:ascii="Times New Roman" w:hAnsi="Times New Roman" w:eastAsia="仿宋"/>
                <w:b/>
                <w:bCs/>
                <w:color w:val="000000" w:themeColor="text1"/>
                <w:sz w:val="24"/>
                <w:szCs w:val="24"/>
                <w14:textFill>
                  <w14:solidFill>
                    <w14:schemeClr w14:val="tx1"/>
                  </w14:solidFill>
                </w14:textFill>
              </w:rPr>
            </w:pPr>
          </w:p>
        </w:tc>
      </w:tr>
    </w:tbl>
    <w:p w14:paraId="6C53C436">
      <w:pPr>
        <w:wordWrap w:val="0"/>
        <w:spacing w:line="360" w:lineRule="auto"/>
        <w:jc w:val="right"/>
        <w:rPr>
          <w:rFonts w:ascii="Times New Roman" w:hAnsi="Times New Roman" w:eastAsiaTheme="minorEastAsia"/>
          <w:color w:val="000000" w:themeColor="text1"/>
          <w:szCs w:val="28"/>
          <w14:textFill>
            <w14:solidFill>
              <w14:schemeClr w14:val="tx1"/>
            </w14:solidFill>
          </w14:textFill>
        </w:rPr>
      </w:pPr>
      <w:bookmarkStart w:id="162" w:name="_Toc27933"/>
      <w:bookmarkStart w:id="163" w:name="_Toc6911"/>
      <w:bookmarkStart w:id="164" w:name="_Toc127875409"/>
      <w:bookmarkStart w:id="165" w:name="_Toc128753706"/>
      <w:bookmarkStart w:id="166" w:name="_Toc30121"/>
      <w:bookmarkStart w:id="167" w:name="_Toc28665"/>
      <w:bookmarkStart w:id="168" w:name="_Toc27826"/>
      <w:bookmarkStart w:id="169" w:name="_Toc27935"/>
      <w:bookmarkStart w:id="170" w:name="_Toc21692"/>
      <w:bookmarkStart w:id="171" w:name="_Toc9357"/>
      <w:bookmarkStart w:id="172" w:name="_Toc121991218"/>
      <w:bookmarkStart w:id="173" w:name="_Toc7497"/>
      <w:bookmarkStart w:id="174" w:name="_Toc24554"/>
      <w:bookmarkStart w:id="175" w:name="_Toc22933"/>
      <w:bookmarkStart w:id="176" w:name="_Toc9460"/>
      <w:bookmarkStart w:id="177" w:name="_Toc25726"/>
      <w:bookmarkStart w:id="178" w:name="_Toc19071"/>
      <w:bookmarkStart w:id="179" w:name="_Toc30954"/>
      <w:bookmarkStart w:id="180" w:name="_Toc762"/>
      <w:bookmarkStart w:id="181" w:name="_Toc9378"/>
      <w:bookmarkStart w:id="182" w:name="_Toc24700"/>
      <w:bookmarkStart w:id="183" w:name="_Toc3324"/>
      <w:bookmarkStart w:id="184" w:name="_Toc11907"/>
      <w:bookmarkStart w:id="185" w:name="_Toc128564714"/>
      <w:bookmarkStart w:id="186" w:name="_Toc27443"/>
      <w:bookmarkStart w:id="187" w:name="_Toc9839"/>
      <w:bookmarkStart w:id="188" w:name="_Toc29166"/>
      <w:bookmarkStart w:id="189" w:name="_Toc13127"/>
      <w:bookmarkStart w:id="190" w:name="_Toc25659"/>
      <w:r>
        <w:rPr>
          <w:rFonts w:ascii="Times New Roman" w:hAnsi="Times New Roman" w:eastAsiaTheme="minorEastAsia"/>
          <w:color w:val="000000" w:themeColor="text1"/>
          <w:szCs w:val="28"/>
          <w14:textFill>
            <w14:solidFill>
              <w14:schemeClr w14:val="tx1"/>
            </w14:solidFill>
          </w14:textFill>
        </w:rPr>
        <w:t>数据来源：广州市房屋交易监管中心</w:t>
      </w:r>
    </w:p>
    <w:p w14:paraId="3B849687">
      <w:pPr>
        <w:numPr>
          <w:ilvl w:val="255"/>
          <w:numId w:val="0"/>
        </w:numPr>
        <w:spacing w:before="120" w:beforeLines="50" w:after="120" w:afterLines="50" w:line="360" w:lineRule="auto"/>
        <w:ind w:firstLine="562" w:firstLineChars="200"/>
        <w:jc w:val="left"/>
        <w:outlineLvl w:val="1"/>
        <w:rPr>
          <w:rFonts w:ascii="Times New Roman" w:hAnsi="Times New Roman"/>
          <w:b/>
          <w:bCs/>
          <w:color w:val="000000" w:themeColor="text1"/>
          <w:sz w:val="28"/>
          <w:szCs w:val="36"/>
          <w14:textFill>
            <w14:solidFill>
              <w14:schemeClr w14:val="tx1"/>
            </w14:solidFill>
          </w14:textFill>
        </w:rPr>
      </w:pPr>
      <w:bookmarkStart w:id="191" w:name="_Toc129694161"/>
      <w:bookmarkStart w:id="192" w:name="_Toc129769282"/>
      <w:bookmarkStart w:id="193" w:name="_Toc129785104"/>
      <w:bookmarkStart w:id="194" w:name="_Toc159513633"/>
      <w:bookmarkStart w:id="195" w:name="_Toc129694231"/>
      <w:bookmarkStart w:id="196" w:name="_Toc191915777"/>
      <w:bookmarkStart w:id="197" w:name="_Toc192845457"/>
      <w:bookmarkStart w:id="198" w:name="_Toc160185282"/>
      <w:r>
        <w:rPr>
          <w:rFonts w:ascii="Times New Roman" w:hAnsi="Times New Roman"/>
          <w:b/>
          <w:bCs/>
          <w:color w:val="000000" w:themeColor="text1"/>
          <w:sz w:val="28"/>
          <w:szCs w:val="36"/>
          <w14:textFill>
            <w14:solidFill>
              <w14:schemeClr w14:val="tx1"/>
            </w14:solidFill>
          </w14:textFill>
        </w:rPr>
        <w:t>3</w:t>
      </w:r>
      <w:r>
        <w:rPr>
          <w:rFonts w:hint="eastAsia" w:ascii="Times New Roman" w:hAnsi="Times New Roman"/>
          <w:b/>
          <w:bCs/>
          <w:color w:val="000000" w:themeColor="text1"/>
          <w:sz w:val="28"/>
          <w:szCs w:val="36"/>
          <w14:textFill>
            <w14:solidFill>
              <w14:schemeClr w14:val="tx1"/>
            </w14:solidFill>
          </w14:textFill>
        </w:rPr>
        <w:t>.</w:t>
      </w:r>
      <w:r>
        <w:rPr>
          <w:rFonts w:ascii="Times New Roman" w:hAnsi="Times New Roman"/>
          <w:b/>
          <w:bCs/>
          <w:color w:val="000000" w:themeColor="text1"/>
          <w:sz w:val="28"/>
          <w:szCs w:val="36"/>
          <w14:textFill>
            <w14:solidFill>
              <w14:schemeClr w14:val="tx1"/>
            </w14:solidFill>
          </w14:textFill>
        </w:rPr>
        <w:t>房屋租赁纠纷</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B579509">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涉及房地产中介的房屋租赁投诉案件共188宗，同比增长3.9%。其中</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消费者反映最多的是</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因租赁一方提出取消交易或交易双方自行终止租赁合同，请求协助退费（如诚意金、押金、租金、中介费等）</w:t>
      </w:r>
      <w:r>
        <w:rPr>
          <w:rFonts w:hint="eastAsia" w:ascii="仿宋_GB2312"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的案件，共105宗，占55.9%（见表1</w:t>
      </w:r>
      <w:r>
        <w:rPr>
          <w:rFonts w:hint="eastAsia" w:ascii="Times New Roman" w:hAnsi="Times New Roman" w:eastAsia="仿宋_GB2312"/>
          <w:color w:val="000000" w:themeColor="text1"/>
          <w:kern w:val="0"/>
          <w:sz w:val="32"/>
          <w:szCs w:val="32"/>
          <w14:textFill>
            <w14:solidFill>
              <w14:schemeClr w14:val="tx1"/>
            </w14:solidFill>
          </w14:textFill>
        </w:rPr>
        <w:t>4</w:t>
      </w:r>
      <w:r>
        <w:rPr>
          <w:rFonts w:ascii="Times New Roman" w:hAnsi="Times New Roman" w:eastAsia="仿宋_GB2312"/>
          <w:color w:val="000000" w:themeColor="text1"/>
          <w:kern w:val="0"/>
          <w:sz w:val="32"/>
          <w:szCs w:val="32"/>
          <w:lang w:val="zh-TW"/>
          <w14:textFill>
            <w14:solidFill>
              <w14:schemeClr w14:val="tx1"/>
            </w14:solidFill>
          </w14:textFill>
        </w:rPr>
        <w:t>）。</w:t>
      </w:r>
    </w:p>
    <w:p w14:paraId="78F5967D">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36CF1997">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表1</w:t>
      </w:r>
      <w:r>
        <w:rPr>
          <w:rFonts w:hint="eastAsia" w:ascii="Times New Roman" w:hAnsi="Times New Roman"/>
          <w:color w:val="000000" w:themeColor="text1"/>
          <w:sz w:val="24"/>
          <w14:textFill>
            <w14:solidFill>
              <w14:schemeClr w14:val="tx1"/>
            </w14:solidFill>
          </w14:textFill>
        </w:rPr>
        <w:t xml:space="preserve">4 </w:t>
      </w:r>
      <w:r>
        <w:rPr>
          <w:rFonts w:ascii="Times New Roman" w:hAnsi="Times New Roman"/>
          <w:color w:val="000000" w:themeColor="text1"/>
          <w:sz w:val="24"/>
          <w14:textFill>
            <w14:solidFill>
              <w14:schemeClr w14:val="tx1"/>
            </w14:solidFill>
          </w14:textFill>
        </w:rPr>
        <w:t xml:space="preserve"> 房地产中介涉及房屋租赁案件事由分析</w:t>
      </w:r>
    </w:p>
    <w:tbl>
      <w:tblPr>
        <w:tblStyle w:val="19"/>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4"/>
        <w:gridCol w:w="5889"/>
        <w:gridCol w:w="615"/>
        <w:gridCol w:w="615"/>
        <w:gridCol w:w="714"/>
        <w:gridCol w:w="759"/>
      </w:tblGrid>
      <w:tr w14:paraId="391B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584" w:type="dxa"/>
            <w:noWrap/>
            <w:vAlign w:val="center"/>
          </w:tcPr>
          <w:p w14:paraId="56855ECB">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序号</w:t>
            </w:r>
          </w:p>
        </w:tc>
        <w:tc>
          <w:tcPr>
            <w:tcW w:w="5889" w:type="dxa"/>
            <w:vAlign w:val="center"/>
          </w:tcPr>
          <w:p w14:paraId="7741B49B">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事由分类</w:t>
            </w:r>
          </w:p>
        </w:tc>
        <w:tc>
          <w:tcPr>
            <w:tcW w:w="615" w:type="dxa"/>
            <w:noWrap/>
            <w:vAlign w:val="center"/>
          </w:tcPr>
          <w:p w14:paraId="1DBE61A6">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热线数量</w:t>
            </w:r>
          </w:p>
          <w:p w14:paraId="333CBA73">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（宗）</w:t>
            </w:r>
          </w:p>
        </w:tc>
        <w:tc>
          <w:tcPr>
            <w:tcW w:w="615" w:type="dxa"/>
            <w:noWrap/>
            <w:vAlign w:val="center"/>
          </w:tcPr>
          <w:p w14:paraId="5C9E4303">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信访数量（宗）</w:t>
            </w:r>
          </w:p>
        </w:tc>
        <w:tc>
          <w:tcPr>
            <w:tcW w:w="714" w:type="dxa"/>
            <w:noWrap/>
            <w:vAlign w:val="center"/>
          </w:tcPr>
          <w:p w14:paraId="1D3E3AF5">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总数（宗）</w:t>
            </w:r>
          </w:p>
        </w:tc>
        <w:tc>
          <w:tcPr>
            <w:tcW w:w="759" w:type="dxa"/>
            <w:noWrap/>
            <w:vAlign w:val="center"/>
          </w:tcPr>
          <w:p w14:paraId="0ABD1D51">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占比</w:t>
            </w:r>
          </w:p>
        </w:tc>
      </w:tr>
      <w:tr w14:paraId="7F7C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466FFFB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5889" w:type="dxa"/>
            <w:vAlign w:val="center"/>
          </w:tcPr>
          <w:p w14:paraId="3CFD2CD7">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因租赁一方提出取消交易或交易双方自行终止租赁合同，请求协助退费（如诚意金、押金、租金、中介费等）。</w:t>
            </w:r>
          </w:p>
        </w:tc>
        <w:tc>
          <w:tcPr>
            <w:tcW w:w="615" w:type="dxa"/>
            <w:noWrap/>
            <w:vAlign w:val="center"/>
          </w:tcPr>
          <w:p w14:paraId="3E7EA73F">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101</w:t>
            </w:r>
          </w:p>
        </w:tc>
        <w:tc>
          <w:tcPr>
            <w:tcW w:w="615" w:type="dxa"/>
            <w:noWrap/>
            <w:vAlign w:val="center"/>
          </w:tcPr>
          <w:p w14:paraId="1D0FDDB2">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w:t>
            </w:r>
          </w:p>
        </w:tc>
        <w:tc>
          <w:tcPr>
            <w:tcW w:w="714" w:type="dxa"/>
            <w:noWrap/>
            <w:vAlign w:val="center"/>
          </w:tcPr>
          <w:p w14:paraId="5EC3D335">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105</w:t>
            </w:r>
          </w:p>
        </w:tc>
        <w:tc>
          <w:tcPr>
            <w:tcW w:w="759" w:type="dxa"/>
            <w:noWrap/>
            <w:vAlign w:val="center"/>
          </w:tcPr>
          <w:p w14:paraId="16B431CD">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55.9%</w:t>
            </w:r>
          </w:p>
        </w:tc>
      </w:tr>
      <w:tr w14:paraId="18D9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42289C97">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w:t>
            </w:r>
          </w:p>
        </w:tc>
        <w:tc>
          <w:tcPr>
            <w:tcW w:w="5889" w:type="dxa"/>
            <w:vAlign w:val="center"/>
          </w:tcPr>
          <w:p w14:paraId="21FC02B4">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中介服务不到位（如未协助办理租赁备案、未协助调解租赁双方纠纷）。</w:t>
            </w:r>
          </w:p>
        </w:tc>
        <w:tc>
          <w:tcPr>
            <w:tcW w:w="615" w:type="dxa"/>
            <w:noWrap/>
            <w:vAlign w:val="center"/>
          </w:tcPr>
          <w:p w14:paraId="58BBEE80">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32</w:t>
            </w:r>
          </w:p>
        </w:tc>
        <w:tc>
          <w:tcPr>
            <w:tcW w:w="615" w:type="dxa"/>
            <w:noWrap/>
            <w:vAlign w:val="center"/>
          </w:tcPr>
          <w:p w14:paraId="04D76FC2">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080787FF">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32</w:t>
            </w:r>
          </w:p>
        </w:tc>
        <w:tc>
          <w:tcPr>
            <w:tcW w:w="759" w:type="dxa"/>
            <w:noWrap/>
            <w:vAlign w:val="center"/>
          </w:tcPr>
          <w:p w14:paraId="4EB6B8D5">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17.0%</w:t>
            </w:r>
          </w:p>
        </w:tc>
      </w:tr>
      <w:tr w14:paraId="4D81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16E57E7A">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5889" w:type="dxa"/>
            <w:vAlign w:val="center"/>
          </w:tcPr>
          <w:p w14:paraId="7BF7F28E">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二次投诉（重复立案、案件处理答复不满意、问题未解决、要求书面回复等）。</w:t>
            </w:r>
          </w:p>
        </w:tc>
        <w:tc>
          <w:tcPr>
            <w:tcW w:w="615" w:type="dxa"/>
            <w:noWrap/>
            <w:vAlign w:val="center"/>
          </w:tcPr>
          <w:p w14:paraId="693D91C6">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22</w:t>
            </w:r>
          </w:p>
        </w:tc>
        <w:tc>
          <w:tcPr>
            <w:tcW w:w="615" w:type="dxa"/>
            <w:noWrap/>
            <w:vAlign w:val="center"/>
          </w:tcPr>
          <w:p w14:paraId="46E14E25">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354A3944">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22</w:t>
            </w:r>
          </w:p>
        </w:tc>
        <w:tc>
          <w:tcPr>
            <w:tcW w:w="759" w:type="dxa"/>
            <w:noWrap/>
            <w:vAlign w:val="center"/>
          </w:tcPr>
          <w:p w14:paraId="4A49E29D">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11.7%</w:t>
            </w:r>
          </w:p>
        </w:tc>
      </w:tr>
      <w:tr w14:paraId="2B5D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0381EE6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w:t>
            </w:r>
          </w:p>
        </w:tc>
        <w:tc>
          <w:tcPr>
            <w:tcW w:w="5889" w:type="dxa"/>
            <w:vAlign w:val="center"/>
          </w:tcPr>
          <w:p w14:paraId="458B6397">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隐瞒或提供虚假、错误的房屋交易信息（如：房屋存在渗漏、甲醛超标、噪音问题、房屋面积、存在违建等）。</w:t>
            </w:r>
          </w:p>
        </w:tc>
        <w:tc>
          <w:tcPr>
            <w:tcW w:w="615" w:type="dxa"/>
            <w:noWrap/>
            <w:vAlign w:val="center"/>
          </w:tcPr>
          <w:p w14:paraId="6011B300">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14</w:t>
            </w:r>
          </w:p>
        </w:tc>
        <w:tc>
          <w:tcPr>
            <w:tcW w:w="615" w:type="dxa"/>
            <w:noWrap/>
            <w:vAlign w:val="center"/>
          </w:tcPr>
          <w:p w14:paraId="302B6EF0">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49FE7F41">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14</w:t>
            </w:r>
          </w:p>
        </w:tc>
        <w:tc>
          <w:tcPr>
            <w:tcW w:w="759" w:type="dxa"/>
            <w:noWrap/>
            <w:vAlign w:val="center"/>
          </w:tcPr>
          <w:p w14:paraId="27A053AC">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7.4%</w:t>
            </w:r>
          </w:p>
        </w:tc>
      </w:tr>
      <w:tr w14:paraId="2626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679083FF">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5</w:t>
            </w:r>
          </w:p>
        </w:tc>
        <w:tc>
          <w:tcPr>
            <w:tcW w:w="5889" w:type="dxa"/>
            <w:vAlign w:val="center"/>
          </w:tcPr>
          <w:p w14:paraId="3C7AD563">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中介乱收费：收费项目标准不透明，强制或捆绑收费，或未按中介服务合同约定收取中介服务费、收取合同约定以外的费用等</w:t>
            </w:r>
            <w:r>
              <w:rPr>
                <w:rFonts w:hint="eastAsia" w:ascii="Times New Roman" w:hAnsi="Times New Roman" w:eastAsia="仿宋"/>
                <w:kern w:val="0"/>
                <w:sz w:val="24"/>
                <w:szCs w:val="24"/>
              </w:rPr>
              <w:t>。</w:t>
            </w:r>
          </w:p>
        </w:tc>
        <w:tc>
          <w:tcPr>
            <w:tcW w:w="615" w:type="dxa"/>
            <w:noWrap/>
            <w:vAlign w:val="center"/>
          </w:tcPr>
          <w:p w14:paraId="5EE38813">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w:t>
            </w:r>
          </w:p>
        </w:tc>
        <w:tc>
          <w:tcPr>
            <w:tcW w:w="615" w:type="dxa"/>
            <w:noWrap/>
            <w:vAlign w:val="center"/>
          </w:tcPr>
          <w:p w14:paraId="75E871CF">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63354DB2">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w:t>
            </w:r>
          </w:p>
        </w:tc>
        <w:tc>
          <w:tcPr>
            <w:tcW w:w="759" w:type="dxa"/>
            <w:noWrap/>
            <w:vAlign w:val="center"/>
          </w:tcPr>
          <w:p w14:paraId="6CF441B5">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4.3%</w:t>
            </w:r>
          </w:p>
        </w:tc>
      </w:tr>
      <w:tr w14:paraId="67E7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0E852079">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w:t>
            </w:r>
          </w:p>
        </w:tc>
        <w:tc>
          <w:tcPr>
            <w:tcW w:w="5889" w:type="dxa"/>
            <w:vAlign w:val="center"/>
          </w:tcPr>
          <w:p w14:paraId="546A2CAB">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未核查房屋出租人处分权。</w:t>
            </w:r>
          </w:p>
        </w:tc>
        <w:tc>
          <w:tcPr>
            <w:tcW w:w="615" w:type="dxa"/>
            <w:noWrap/>
            <w:vAlign w:val="center"/>
          </w:tcPr>
          <w:p w14:paraId="1C11B0A4">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w:t>
            </w:r>
          </w:p>
        </w:tc>
        <w:tc>
          <w:tcPr>
            <w:tcW w:w="615" w:type="dxa"/>
            <w:noWrap/>
            <w:vAlign w:val="center"/>
          </w:tcPr>
          <w:p w14:paraId="50EDAA34">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7BCC35BC">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w:t>
            </w:r>
          </w:p>
        </w:tc>
        <w:tc>
          <w:tcPr>
            <w:tcW w:w="759" w:type="dxa"/>
            <w:noWrap/>
            <w:vAlign w:val="center"/>
          </w:tcPr>
          <w:p w14:paraId="1F3904DE">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1.1%</w:t>
            </w:r>
          </w:p>
        </w:tc>
      </w:tr>
      <w:tr w14:paraId="64DF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6E9235CD">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7</w:t>
            </w:r>
          </w:p>
        </w:tc>
        <w:tc>
          <w:tcPr>
            <w:tcW w:w="5889" w:type="dxa"/>
            <w:vAlign w:val="center"/>
          </w:tcPr>
          <w:p w14:paraId="3CFBE6EA">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房地产中介机构（或从业人员）代收代管存量房交易资金。</w:t>
            </w:r>
          </w:p>
        </w:tc>
        <w:tc>
          <w:tcPr>
            <w:tcW w:w="615" w:type="dxa"/>
            <w:noWrap/>
            <w:vAlign w:val="center"/>
          </w:tcPr>
          <w:p w14:paraId="32E96B5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615" w:type="dxa"/>
            <w:noWrap/>
            <w:vAlign w:val="center"/>
          </w:tcPr>
          <w:p w14:paraId="0A40FB24">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117B2353">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759" w:type="dxa"/>
            <w:noWrap/>
            <w:vAlign w:val="center"/>
          </w:tcPr>
          <w:p w14:paraId="03053C54">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0.5%</w:t>
            </w:r>
          </w:p>
        </w:tc>
      </w:tr>
      <w:tr w14:paraId="08D2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28A00DC2">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w:t>
            </w:r>
          </w:p>
        </w:tc>
        <w:tc>
          <w:tcPr>
            <w:tcW w:w="5889" w:type="dxa"/>
            <w:vAlign w:val="center"/>
          </w:tcPr>
          <w:p w14:paraId="0EE3151B">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隐瞒房屋真实</w:t>
            </w:r>
            <w:r>
              <w:rPr>
                <w:rFonts w:hint="eastAsia" w:ascii="Times New Roman" w:hAnsi="Times New Roman" w:eastAsia="仿宋"/>
                <w:kern w:val="0"/>
                <w:sz w:val="24"/>
                <w:szCs w:val="24"/>
              </w:rPr>
              <w:t>租赁</w:t>
            </w:r>
            <w:r>
              <w:rPr>
                <w:rFonts w:ascii="Times New Roman" w:hAnsi="Times New Roman" w:eastAsia="仿宋"/>
                <w:kern w:val="0"/>
                <w:sz w:val="24"/>
                <w:szCs w:val="24"/>
              </w:rPr>
              <w:t>价格。</w:t>
            </w:r>
          </w:p>
        </w:tc>
        <w:tc>
          <w:tcPr>
            <w:tcW w:w="615" w:type="dxa"/>
            <w:noWrap/>
            <w:vAlign w:val="center"/>
          </w:tcPr>
          <w:p w14:paraId="08218DC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615" w:type="dxa"/>
            <w:noWrap/>
            <w:vAlign w:val="center"/>
          </w:tcPr>
          <w:p w14:paraId="54830542">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3A54A47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759" w:type="dxa"/>
            <w:noWrap/>
            <w:vAlign w:val="center"/>
          </w:tcPr>
          <w:p w14:paraId="75A0A3F1">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0.5%</w:t>
            </w:r>
          </w:p>
        </w:tc>
      </w:tr>
      <w:tr w14:paraId="7CAE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430649EC">
            <w:pPr>
              <w:widowControl/>
              <w:jc w:val="center"/>
              <w:textAlignment w:val="center"/>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w:t>
            </w:r>
          </w:p>
        </w:tc>
        <w:tc>
          <w:tcPr>
            <w:tcW w:w="5889" w:type="dxa"/>
            <w:vAlign w:val="center"/>
          </w:tcPr>
          <w:p w14:paraId="1B9E1592">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中介机构未备案或从业人员无信用信息卡（或从业水平证书）执业等</w:t>
            </w:r>
            <w:r>
              <w:rPr>
                <w:rFonts w:hint="eastAsia" w:ascii="Times New Roman" w:hAnsi="Times New Roman" w:eastAsia="仿宋"/>
                <w:kern w:val="0"/>
                <w:sz w:val="24"/>
                <w:szCs w:val="24"/>
              </w:rPr>
              <w:t>。</w:t>
            </w:r>
          </w:p>
        </w:tc>
        <w:tc>
          <w:tcPr>
            <w:tcW w:w="615" w:type="dxa"/>
            <w:noWrap/>
            <w:vAlign w:val="center"/>
          </w:tcPr>
          <w:p w14:paraId="259B245D">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615" w:type="dxa"/>
            <w:noWrap/>
            <w:vAlign w:val="center"/>
          </w:tcPr>
          <w:p w14:paraId="4CDEF931">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7162FF5C">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759" w:type="dxa"/>
            <w:noWrap/>
            <w:vAlign w:val="center"/>
          </w:tcPr>
          <w:p w14:paraId="63560410">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0.5%</w:t>
            </w:r>
          </w:p>
        </w:tc>
      </w:tr>
      <w:tr w14:paraId="6190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26E911F0">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10</w:t>
            </w:r>
          </w:p>
        </w:tc>
        <w:tc>
          <w:tcPr>
            <w:tcW w:w="5889" w:type="dxa"/>
            <w:vAlign w:val="center"/>
          </w:tcPr>
          <w:p w14:paraId="6020098D">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从业人员私自收取中介服务费。</w:t>
            </w:r>
          </w:p>
        </w:tc>
        <w:tc>
          <w:tcPr>
            <w:tcW w:w="615" w:type="dxa"/>
            <w:noWrap/>
            <w:vAlign w:val="center"/>
          </w:tcPr>
          <w:p w14:paraId="55ABCE0C">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615" w:type="dxa"/>
            <w:noWrap/>
            <w:vAlign w:val="center"/>
          </w:tcPr>
          <w:p w14:paraId="6481A220">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20DC5295">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759" w:type="dxa"/>
            <w:noWrap/>
            <w:vAlign w:val="center"/>
          </w:tcPr>
          <w:p w14:paraId="59E9CD60">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0.5%</w:t>
            </w:r>
          </w:p>
        </w:tc>
      </w:tr>
      <w:tr w14:paraId="39C8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84" w:type="dxa"/>
            <w:noWrap/>
            <w:vAlign w:val="center"/>
          </w:tcPr>
          <w:p w14:paraId="24CEC5E0">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11</w:t>
            </w:r>
          </w:p>
        </w:tc>
        <w:tc>
          <w:tcPr>
            <w:tcW w:w="5889" w:type="dxa"/>
            <w:vAlign w:val="center"/>
          </w:tcPr>
          <w:p w14:paraId="3B4693D3">
            <w:pPr>
              <w:widowControl/>
              <w:spacing w:line="276" w:lineRule="auto"/>
              <w:jc w:val="left"/>
              <w:textAlignment w:val="center"/>
              <w:rPr>
                <w:rFonts w:ascii="Times New Roman" w:hAnsi="Times New Roman" w:eastAsia="仿宋"/>
                <w:kern w:val="0"/>
                <w:sz w:val="24"/>
                <w:szCs w:val="24"/>
              </w:rPr>
            </w:pPr>
            <w:r>
              <w:rPr>
                <w:rFonts w:ascii="Times New Roman" w:hAnsi="Times New Roman" w:eastAsia="仿宋"/>
                <w:kern w:val="0"/>
                <w:sz w:val="24"/>
                <w:szCs w:val="24"/>
              </w:rPr>
              <w:t>虚假口头承诺，签约后无法兑现，要求退中介费、定金等。</w:t>
            </w:r>
          </w:p>
        </w:tc>
        <w:tc>
          <w:tcPr>
            <w:tcW w:w="615" w:type="dxa"/>
            <w:noWrap/>
            <w:vAlign w:val="center"/>
          </w:tcPr>
          <w:p w14:paraId="0A93FE05">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615" w:type="dxa"/>
            <w:noWrap/>
            <w:vAlign w:val="center"/>
          </w:tcPr>
          <w:p w14:paraId="4F90C5EC">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w:t>
            </w:r>
          </w:p>
        </w:tc>
        <w:tc>
          <w:tcPr>
            <w:tcW w:w="714" w:type="dxa"/>
            <w:noWrap/>
            <w:vAlign w:val="center"/>
          </w:tcPr>
          <w:p w14:paraId="386D6D2F">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759" w:type="dxa"/>
            <w:noWrap/>
            <w:vAlign w:val="center"/>
          </w:tcPr>
          <w:p w14:paraId="1B8CE0BD">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0.5%</w:t>
            </w:r>
          </w:p>
        </w:tc>
      </w:tr>
      <w:tr w14:paraId="5143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6473" w:type="dxa"/>
            <w:gridSpan w:val="2"/>
            <w:noWrap/>
            <w:vAlign w:val="center"/>
          </w:tcPr>
          <w:p w14:paraId="1C4EB910">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合计</w:t>
            </w:r>
          </w:p>
        </w:tc>
        <w:tc>
          <w:tcPr>
            <w:tcW w:w="615" w:type="dxa"/>
            <w:noWrap/>
            <w:vAlign w:val="center"/>
          </w:tcPr>
          <w:p w14:paraId="6CA756D8">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184</w:t>
            </w:r>
          </w:p>
        </w:tc>
        <w:tc>
          <w:tcPr>
            <w:tcW w:w="615" w:type="dxa"/>
            <w:noWrap/>
            <w:vAlign w:val="center"/>
          </w:tcPr>
          <w:p w14:paraId="3C515C60">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4</w:t>
            </w:r>
          </w:p>
        </w:tc>
        <w:tc>
          <w:tcPr>
            <w:tcW w:w="714" w:type="dxa"/>
            <w:noWrap/>
            <w:vAlign w:val="center"/>
          </w:tcPr>
          <w:p w14:paraId="3FD51297">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188</w:t>
            </w:r>
          </w:p>
        </w:tc>
        <w:tc>
          <w:tcPr>
            <w:tcW w:w="759" w:type="dxa"/>
            <w:noWrap/>
            <w:vAlign w:val="center"/>
          </w:tcPr>
          <w:p w14:paraId="60DA5C80">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p>
        </w:tc>
      </w:tr>
    </w:tbl>
    <w:p w14:paraId="44F72813">
      <w:pPr>
        <w:wordWrap w:val="0"/>
        <w:spacing w:line="360" w:lineRule="auto"/>
        <w:ind w:right="210"/>
        <w:jc w:val="right"/>
        <w:rPr>
          <w:rFonts w:ascii="Times New Roman" w:hAnsi="Times New Roman" w:eastAsiaTheme="minorEastAsia"/>
          <w:color w:val="000000" w:themeColor="text1"/>
          <w:szCs w:val="28"/>
          <w14:textFill>
            <w14:solidFill>
              <w14:schemeClr w14:val="tx1"/>
            </w14:solidFill>
          </w14:textFill>
        </w:rPr>
      </w:pPr>
      <w:bookmarkStart w:id="199" w:name="_Toc128753707"/>
      <w:bookmarkStart w:id="200" w:name="_Toc19740"/>
      <w:bookmarkStart w:id="201" w:name="_Toc28671"/>
      <w:bookmarkStart w:id="202" w:name="_Toc128564715"/>
      <w:bookmarkStart w:id="203" w:name="_Toc31147"/>
      <w:bookmarkStart w:id="204" w:name="_Toc695"/>
      <w:bookmarkStart w:id="205" w:name="_Toc9210"/>
      <w:bookmarkStart w:id="206" w:name="_Toc127875410"/>
      <w:bookmarkStart w:id="207" w:name="_Toc121991219"/>
      <w:bookmarkStart w:id="208" w:name="_Toc15285"/>
      <w:bookmarkStart w:id="209" w:name="_Toc19899"/>
      <w:bookmarkStart w:id="210" w:name="_Toc8649"/>
      <w:bookmarkStart w:id="211" w:name="_Toc12692"/>
      <w:bookmarkStart w:id="212" w:name="_Toc18301"/>
      <w:bookmarkStart w:id="213" w:name="_Toc29903"/>
      <w:bookmarkStart w:id="214" w:name="_Toc8471"/>
      <w:bookmarkStart w:id="215" w:name="_Toc18340"/>
      <w:bookmarkStart w:id="216" w:name="_Toc8001"/>
      <w:bookmarkStart w:id="217" w:name="_Toc2173"/>
      <w:bookmarkStart w:id="218" w:name="_Toc27146"/>
      <w:bookmarkStart w:id="219" w:name="_Toc31998"/>
      <w:bookmarkStart w:id="220" w:name="_Toc16629"/>
      <w:bookmarkStart w:id="221" w:name="_Toc28185"/>
      <w:bookmarkStart w:id="222" w:name="_Toc1587"/>
      <w:bookmarkStart w:id="223" w:name="_Toc8526"/>
      <w:bookmarkStart w:id="224" w:name="_Toc16140"/>
      <w:bookmarkStart w:id="225" w:name="_Toc2164"/>
      <w:bookmarkStart w:id="226" w:name="_Toc25986"/>
      <w:bookmarkStart w:id="227" w:name="_Toc28349"/>
      <w:r>
        <w:rPr>
          <w:rFonts w:ascii="Times New Roman" w:hAnsi="Times New Roman" w:eastAsiaTheme="minorEastAsia"/>
          <w:color w:val="000000" w:themeColor="text1"/>
          <w:szCs w:val="28"/>
          <w14:textFill>
            <w14:solidFill>
              <w14:schemeClr w14:val="tx1"/>
            </w14:solidFill>
          </w14:textFill>
        </w:rPr>
        <w:t>数据来源：广州市房屋交易监管中心</w:t>
      </w:r>
    </w:p>
    <w:p w14:paraId="1C3E196D">
      <w:pPr>
        <w:numPr>
          <w:ilvl w:val="255"/>
          <w:numId w:val="0"/>
        </w:numPr>
        <w:spacing w:before="120" w:beforeLines="50" w:after="120" w:afterLines="50" w:line="360" w:lineRule="auto"/>
        <w:ind w:firstLine="562" w:firstLineChars="200"/>
        <w:jc w:val="left"/>
        <w:outlineLvl w:val="1"/>
        <w:rPr>
          <w:rFonts w:ascii="Times New Roman" w:hAnsi="Times New Roman"/>
          <w:b/>
          <w:bCs/>
          <w:color w:val="000000" w:themeColor="text1"/>
          <w:sz w:val="28"/>
          <w:szCs w:val="36"/>
          <w14:textFill>
            <w14:solidFill>
              <w14:schemeClr w14:val="tx1"/>
            </w14:solidFill>
          </w14:textFill>
        </w:rPr>
      </w:pPr>
      <w:bookmarkStart w:id="228" w:name="_Toc192845458"/>
      <w:bookmarkStart w:id="229" w:name="_Toc129694232"/>
      <w:bookmarkStart w:id="230" w:name="_Toc191915778"/>
      <w:bookmarkStart w:id="231" w:name="_Toc160185283"/>
      <w:bookmarkStart w:id="232" w:name="_Toc129785105"/>
      <w:bookmarkStart w:id="233" w:name="_Toc129769283"/>
      <w:bookmarkStart w:id="234" w:name="_Toc129694162"/>
      <w:bookmarkStart w:id="235" w:name="_Toc159513634"/>
      <w:r>
        <w:rPr>
          <w:rFonts w:ascii="Times New Roman" w:hAnsi="Times New Roman"/>
          <w:b/>
          <w:bCs/>
          <w:color w:val="000000" w:themeColor="text1"/>
          <w:sz w:val="28"/>
          <w:szCs w:val="36"/>
          <w14:textFill>
            <w14:solidFill>
              <w14:schemeClr w14:val="tx1"/>
            </w14:solidFill>
          </w14:textFill>
        </w:rPr>
        <w:t>4</w:t>
      </w:r>
      <w:r>
        <w:rPr>
          <w:rFonts w:hint="eastAsia" w:ascii="Times New Roman" w:hAnsi="Times New Roman"/>
          <w:b/>
          <w:bCs/>
          <w:color w:val="000000" w:themeColor="text1"/>
          <w:sz w:val="28"/>
          <w:szCs w:val="36"/>
          <w14:textFill>
            <w14:solidFill>
              <w14:schemeClr w14:val="tx1"/>
            </w14:solidFill>
          </w14:textFill>
        </w:rPr>
        <w:t>.</w:t>
      </w:r>
      <w:r>
        <w:rPr>
          <w:rFonts w:ascii="Times New Roman" w:hAnsi="Times New Roman"/>
          <w:b/>
          <w:bCs/>
          <w:color w:val="000000" w:themeColor="text1"/>
          <w:sz w:val="28"/>
          <w:szCs w:val="36"/>
          <w14:textFill>
            <w14:solidFill>
              <w14:schemeClr w14:val="tx1"/>
            </w14:solidFill>
          </w14:textFill>
        </w:rPr>
        <w:t>非交易类纠纷</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28"/>
      <w:bookmarkEnd w:id="229"/>
      <w:bookmarkEnd w:id="230"/>
      <w:bookmarkEnd w:id="231"/>
      <w:bookmarkEnd w:id="232"/>
      <w:bookmarkEnd w:id="233"/>
      <w:bookmarkEnd w:id="234"/>
      <w:bookmarkEnd w:id="235"/>
    </w:p>
    <w:p w14:paraId="79CC13B6">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非交易类纠纷案件主要是指未涉及具体的房屋交易行为（如反映中介服务态度、举报虚假房源、互联网房源信息发布平台管理不规范等），共222宗，具体如下。</w:t>
      </w:r>
    </w:p>
    <w:p w14:paraId="30F23490">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hint="eastAsia" w:ascii="Times New Roman" w:hAnsi="Times New Roman" w:eastAsia="仿宋_GB2312"/>
          <w:color w:val="000000" w:themeColor="text1"/>
          <w:kern w:val="0"/>
          <w:sz w:val="32"/>
          <w:szCs w:val="32"/>
          <w:lang w:val="zh-TW"/>
          <w14:textFill>
            <w14:solidFill>
              <w14:schemeClr w14:val="tx1"/>
            </w14:solidFill>
          </w14:textFill>
        </w:rPr>
        <w:t>（1）</w:t>
      </w:r>
      <w:r>
        <w:rPr>
          <w:rFonts w:ascii="Times New Roman" w:hAnsi="Times New Roman" w:eastAsia="仿宋_GB2312"/>
          <w:color w:val="000000" w:themeColor="text1"/>
          <w:kern w:val="0"/>
          <w:sz w:val="32"/>
          <w:szCs w:val="32"/>
          <w:lang w:val="zh-TW"/>
          <w14:textFill>
            <w14:solidFill>
              <w14:schemeClr w14:val="tx1"/>
            </w14:solidFill>
          </w14:textFill>
        </w:rPr>
        <w:t>反映中介服务态度差，如骚扰、谩骂客户（含电话、短信、微信等），违背消费者意愿提供中介服务（如经纪人不分时段拨打、反复拨打客户电话，服务体验不佳等），共67宗，占30.2%。</w:t>
      </w:r>
    </w:p>
    <w:p w14:paraId="1B1FAA96">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（2）违反网签规则操作网签系统（擅自制作、变更、撤下网签或不配合撤下网签），共48宗，占21.6%。</w:t>
      </w:r>
    </w:p>
    <w:p w14:paraId="69C0C13B">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（3）反映中介发布虚假或禁止交易的房源信息广告（房源不存在，未受业主委托放盘、发布房源信息与实际情况不符等），共36宗，占16.2%。</w:t>
      </w:r>
    </w:p>
    <w:p w14:paraId="43DFD99D">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（4）消费者反映互联网房源信息发布平台（含网站、APP或小程序）及自媒体存在打压房价、乱收费、泄露个人信息等服务管理不规范行为的案件，共30宗，占13.5%。</w:t>
      </w:r>
    </w:p>
    <w:p w14:paraId="6670B40C">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（5）中介机构未备案或从业人员无信用信息卡（或证书）执业等，共19宗，占8.6%。</w:t>
      </w:r>
    </w:p>
    <w:p w14:paraId="0B0EF96E">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（6）二次投诉，共16宗，占7.2%。</w:t>
      </w:r>
    </w:p>
    <w:p w14:paraId="000EA74A">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（7）中介乱收费</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收费项目标准不透明，强制或捆绑收费，或未按合同约定收取中介服务费、收取合同约定以外的费用等，共4宗，占1.8%。</w:t>
      </w:r>
    </w:p>
    <w:p w14:paraId="1BEF83EB">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（8）中介服务不到位（如放盘期间对房屋维护不当、未完成委托服务），共2宗，占0.9%。</w:t>
      </w:r>
    </w:p>
    <w:p w14:paraId="2AD256E0">
      <w:pPr>
        <w:numPr>
          <w:ilvl w:val="255"/>
          <w:numId w:val="0"/>
        </w:numPr>
        <w:snapToGrid w:val="0"/>
        <w:spacing w:line="360" w:lineRule="auto"/>
        <w:ind w:firstLine="480" w:firstLineChars="200"/>
        <w:rPr>
          <w:rFonts w:ascii="Times New Roman" w:hAnsi="Times New Roman" w:eastAsia="仿宋_GB2312"/>
          <w:color w:val="000000" w:themeColor="text1"/>
          <w:sz w:val="24"/>
          <w14:textFill>
            <w14:solidFill>
              <w14:schemeClr w14:val="tx1"/>
            </w14:solidFill>
          </w14:textFill>
        </w:rPr>
      </w:pPr>
    </w:p>
    <w:bookmarkEnd w:id="219"/>
    <w:bookmarkEnd w:id="220"/>
    <w:bookmarkEnd w:id="221"/>
    <w:bookmarkEnd w:id="222"/>
    <w:bookmarkEnd w:id="223"/>
    <w:bookmarkEnd w:id="224"/>
    <w:bookmarkEnd w:id="225"/>
    <w:bookmarkEnd w:id="226"/>
    <w:bookmarkEnd w:id="227"/>
    <w:p w14:paraId="4FC9DEA3">
      <w:pPr>
        <w:pStyle w:val="3"/>
        <w:numPr>
          <w:ilvl w:val="255"/>
          <w:numId w:val="0"/>
        </w:numPr>
        <w:spacing w:before="240" w:after="0" w:line="360" w:lineRule="auto"/>
        <w:ind w:firstLine="562" w:firstLineChars="200"/>
        <w:jc w:val="left"/>
        <w:rPr>
          <w:rFonts w:ascii="Times New Roman" w:hAnsi="Times New Roman" w:eastAsia="黑体" w:cs="Times New Roman"/>
          <w:b w:val="0"/>
          <w:bCs w:val="0"/>
          <w:color w:val="000000" w:themeColor="text1"/>
          <w:sz w:val="28"/>
          <w:szCs w:val="28"/>
          <w14:textFill>
            <w14:solidFill>
              <w14:schemeClr w14:val="tx1"/>
            </w14:solidFill>
          </w14:textFill>
        </w:rPr>
      </w:pPr>
      <w:bookmarkStart w:id="236" w:name="_Toc192845459"/>
      <w:bookmarkStart w:id="237" w:name="_Toc4510"/>
      <w:bookmarkStart w:id="238" w:name="_Toc24183"/>
      <w:bookmarkStart w:id="239" w:name="_Toc2509"/>
      <w:bookmarkStart w:id="240" w:name="_Toc121991220"/>
      <w:bookmarkStart w:id="241" w:name="_Toc21736"/>
      <w:bookmarkStart w:id="242" w:name="_Toc128564716"/>
      <w:bookmarkStart w:id="243" w:name="_Toc24582"/>
      <w:bookmarkStart w:id="244" w:name="_Toc19852"/>
      <w:bookmarkStart w:id="245" w:name="_Toc128753708"/>
      <w:bookmarkStart w:id="246" w:name="_Toc20237"/>
      <w:bookmarkStart w:id="247" w:name="_Toc26348"/>
      <w:bookmarkStart w:id="248" w:name="_Toc27687"/>
      <w:bookmarkStart w:id="249" w:name="_Toc21404"/>
      <w:bookmarkStart w:id="250" w:name="_Toc5058"/>
      <w:bookmarkStart w:id="251" w:name="_Toc23185"/>
      <w:bookmarkStart w:id="252" w:name="_Toc30230"/>
      <w:bookmarkStart w:id="253" w:name="_Toc4289"/>
      <w:bookmarkStart w:id="254" w:name="_Toc3796"/>
      <w:bookmarkStart w:id="255" w:name="_Toc19467"/>
      <w:bookmarkStart w:id="256" w:name="_Toc12660"/>
      <w:bookmarkStart w:id="257" w:name="_Toc24911"/>
      <w:bookmarkStart w:id="258" w:name="_Toc23865"/>
      <w:bookmarkStart w:id="259" w:name="_Toc13357"/>
      <w:bookmarkStart w:id="260" w:name="_Toc10761"/>
      <w:bookmarkStart w:id="261" w:name="_Toc14968"/>
      <w:bookmarkStart w:id="262" w:name="_Toc127875411"/>
      <w:bookmarkStart w:id="263" w:name="_Toc22166"/>
      <w:bookmarkStart w:id="264" w:name="_Toc25199"/>
      <w:bookmarkStart w:id="265" w:name="_Toc25139"/>
      <w:r>
        <w:rPr>
          <w:rFonts w:ascii="Times New Roman" w:hAnsi="Times New Roman" w:eastAsia="黑体" w:cs="Times New Roman"/>
          <w:bCs w:val="0"/>
          <w:color w:val="000000" w:themeColor="text1"/>
          <w:sz w:val="28"/>
          <w:szCs w:val="28"/>
          <w14:textFill>
            <w14:solidFill>
              <w14:schemeClr w14:val="tx1"/>
            </w14:solidFill>
          </w14:textFill>
        </w:rPr>
        <w:t>（二）投诉对象</w:t>
      </w:r>
      <w:bookmarkEnd w:id="236"/>
      <w:r>
        <w:rPr>
          <w:rFonts w:hint="eastAsia" w:ascii="Times New Roman" w:hAnsi="Times New Roman" w:eastAsia="黑体" w:cs="Times New Roman"/>
          <w:bCs w:val="0"/>
          <w:color w:val="000000" w:themeColor="text1"/>
          <w:sz w:val="28"/>
          <w:szCs w:val="28"/>
          <w14:textFill>
            <w14:solidFill>
              <w14:schemeClr w14:val="tx1"/>
            </w14:solidFill>
          </w14:textFill>
        </w:rPr>
        <w:t>分析</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14:paraId="6DCA826D">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bookmarkStart w:id="266" w:name="_Toc128564717"/>
      <w:bookmarkStart w:id="267" w:name="_Toc128753709"/>
      <w:bookmarkStart w:id="268" w:name="_Toc24847"/>
      <w:bookmarkStart w:id="269" w:name="_Toc7478"/>
      <w:bookmarkStart w:id="270" w:name="_Toc20306"/>
      <w:bookmarkStart w:id="271" w:name="_Toc4572"/>
      <w:bookmarkStart w:id="272" w:name="_Toc10525"/>
      <w:bookmarkStart w:id="273" w:name="_Toc12443"/>
      <w:bookmarkStart w:id="274" w:name="_Toc121991221"/>
      <w:bookmarkStart w:id="275" w:name="_Toc19645"/>
      <w:bookmarkStart w:id="276" w:name="_Toc24071"/>
      <w:bookmarkStart w:id="277" w:name="_Toc1163"/>
      <w:bookmarkStart w:id="278" w:name="_Toc31480"/>
      <w:bookmarkStart w:id="279" w:name="_Toc18551"/>
      <w:bookmarkStart w:id="280" w:name="_Toc10401"/>
      <w:bookmarkStart w:id="281" w:name="_Toc6145"/>
      <w:bookmarkStart w:id="282" w:name="_Toc9853"/>
      <w:bookmarkStart w:id="283" w:name="_Toc16326"/>
      <w:bookmarkStart w:id="284" w:name="_Toc29337"/>
      <w:bookmarkStart w:id="285" w:name="_Toc29540"/>
      <w:bookmarkStart w:id="286" w:name="_Toc32111"/>
      <w:bookmarkStart w:id="287" w:name="_Toc45"/>
      <w:bookmarkStart w:id="288" w:name="_Toc129769285"/>
      <w:bookmarkStart w:id="289" w:name="_Toc129785107"/>
      <w:bookmarkStart w:id="290" w:name="_Toc20848"/>
      <w:bookmarkStart w:id="291" w:name="_Toc129694235"/>
      <w:bookmarkStart w:id="292" w:name="_Toc9668"/>
      <w:bookmarkStart w:id="293" w:name="_Toc8065"/>
      <w:bookmarkStart w:id="294" w:name="_Toc127875412"/>
      <w:bookmarkStart w:id="295" w:name="_Toc17068"/>
      <w:bookmarkStart w:id="296" w:name="_Toc1674"/>
      <w:bookmarkStart w:id="297" w:name="_Toc129694165"/>
      <w:bookmarkStart w:id="298" w:name="_Toc21040"/>
      <w:bookmarkStart w:id="299" w:name="_Toc160185285"/>
      <w:bookmarkStart w:id="300" w:name="_Toc159513636"/>
      <w:r>
        <w:rPr>
          <w:rFonts w:ascii="Times New Roman" w:hAnsi="Times New Roman" w:eastAsia="仿宋_GB2312"/>
          <w:color w:val="000000" w:themeColor="text1"/>
          <w:kern w:val="0"/>
          <w:sz w:val="32"/>
          <w:szCs w:val="32"/>
          <w:lang w:val="zh-TW"/>
          <w14:textFill>
            <w14:solidFill>
              <w14:schemeClr w14:val="tx1"/>
            </w14:solidFill>
          </w14:textFill>
        </w:rPr>
        <w:t>1352宗涉及房地产中介的受理案件中，252宗属咨询建议类案件，不涉及投诉对象；789宗投诉举报类案件明确指出了具体的中介机构或房地产中介服务品牌（共涉及244家中介机构/中介服务品牌）；161宗投诉举报类案件涉及互联网房源信息</w:t>
      </w:r>
      <w:r>
        <w:rPr>
          <w:rFonts w:hint="eastAsia" w:ascii="Times New Roman" w:hAnsi="Times New Roman" w:eastAsia="仿宋_GB2312"/>
          <w:color w:val="000000" w:themeColor="text1"/>
          <w:kern w:val="0"/>
          <w:sz w:val="32"/>
          <w:szCs w:val="32"/>
          <w:lang w:val="zh-TW"/>
          <w14:textFill>
            <w14:solidFill>
              <w14:schemeClr w14:val="tx1"/>
            </w14:solidFill>
          </w14:textFill>
        </w:rPr>
        <w:t>发布</w:t>
      </w:r>
      <w:r>
        <w:rPr>
          <w:rFonts w:ascii="Times New Roman" w:hAnsi="Times New Roman" w:eastAsia="仿宋_GB2312"/>
          <w:color w:val="000000" w:themeColor="text1"/>
          <w:kern w:val="0"/>
          <w:sz w:val="32"/>
          <w:szCs w:val="32"/>
          <w:lang w:val="zh-TW"/>
          <w14:textFill>
            <w14:solidFill>
              <w14:schemeClr w14:val="tx1"/>
            </w14:solidFill>
          </w14:textFill>
        </w:rPr>
        <w:t>平台、自媒体；150宗投诉举报类案件未指明具体的中介机构。</w:t>
      </w:r>
    </w:p>
    <w:p w14:paraId="532C0C8D">
      <w:pPr>
        <w:numPr>
          <w:ilvl w:val="255"/>
          <w:numId w:val="0"/>
        </w:numPr>
        <w:spacing w:before="120" w:beforeLines="50" w:after="120" w:afterLines="50" w:line="360" w:lineRule="auto"/>
        <w:ind w:firstLine="562" w:firstLineChars="200"/>
        <w:jc w:val="left"/>
        <w:outlineLvl w:val="1"/>
        <w:rPr>
          <w:rFonts w:ascii="Times New Roman" w:hAnsi="Times New Roman"/>
          <w:b/>
          <w:bCs/>
          <w:color w:val="000000" w:themeColor="text1"/>
          <w:sz w:val="28"/>
          <w:szCs w:val="36"/>
          <w:lang w:val="zh-TW"/>
          <w14:textFill>
            <w14:solidFill>
              <w14:schemeClr w14:val="tx1"/>
            </w14:solidFill>
          </w14:textFill>
        </w:rPr>
      </w:pPr>
      <w:bookmarkStart w:id="301" w:name="_Toc192845460"/>
      <w:bookmarkStart w:id="302" w:name="_Toc191915780"/>
      <w:r>
        <w:rPr>
          <w:rFonts w:hint="eastAsia" w:ascii="Times New Roman" w:hAnsi="Times New Roman"/>
          <w:b/>
          <w:bCs/>
          <w:color w:val="000000" w:themeColor="text1"/>
          <w:sz w:val="28"/>
          <w:szCs w:val="36"/>
          <w:lang w:val="zh-TW"/>
          <w14:textFill>
            <w14:solidFill>
              <w14:schemeClr w14:val="tx1"/>
            </w14:solidFill>
          </w14:textFill>
        </w:rPr>
        <w:t>1.中介机构</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rFonts w:hint="eastAsia" w:ascii="Times New Roman" w:hAnsi="Times New Roman"/>
          <w:b/>
          <w:bCs/>
          <w:color w:val="000000" w:themeColor="text1"/>
          <w:sz w:val="28"/>
          <w:szCs w:val="36"/>
          <w:lang w:val="zh-TW"/>
          <w14:textFill>
            <w14:solidFill>
              <w14:schemeClr w14:val="tx1"/>
            </w14:solidFill>
          </w14:textFill>
        </w:rPr>
        <w:t>和服务品牌</w:t>
      </w:r>
      <w:bookmarkEnd w:id="299"/>
      <w:bookmarkEnd w:id="300"/>
      <w:bookmarkEnd w:id="301"/>
      <w:bookmarkEnd w:id="302"/>
    </w:p>
    <w:p w14:paraId="4B3A05FE">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涉及具体中介机构或房地产中介服务品牌的案件共789宗。根据投诉量与备案门店数量的比率计算店均投诉量，2024年投诉量排名前十五的中介机构或房地产中介服务品牌中，德佑的投诉量最多，以93宗居第一。拥有一定门店规模的中介机构</w:t>
      </w:r>
      <w:r>
        <w:rPr>
          <w:rFonts w:hint="eastAsia" w:ascii="Times New Roman" w:hAnsi="Times New Roman" w:eastAsia="仿宋_GB2312"/>
          <w:color w:val="000000" w:themeColor="text1"/>
          <w:kern w:val="0"/>
          <w:sz w:val="32"/>
          <w:szCs w:val="32"/>
          <w:lang w:val="zh-TW"/>
          <w14:textFill>
            <w14:solidFill>
              <w14:schemeClr w14:val="tx1"/>
            </w14:solidFill>
          </w14:textFill>
        </w:rPr>
        <w:t>或房地产中介服务品牌中，看房网</w:t>
      </w:r>
      <w:r>
        <w:rPr>
          <w:rFonts w:ascii="Times New Roman" w:hAnsi="Times New Roman" w:eastAsia="仿宋_GB2312"/>
          <w:color w:val="000000" w:themeColor="text1"/>
          <w:kern w:val="0"/>
          <w:sz w:val="32"/>
          <w:szCs w:val="32"/>
          <w:lang w:val="zh-TW"/>
          <w14:textFill>
            <w14:solidFill>
              <w14:schemeClr w14:val="tx1"/>
            </w14:solidFill>
          </w14:textFill>
        </w:rPr>
        <w:t>店均投诉量</w:t>
      </w:r>
      <w:r>
        <w:rPr>
          <w:rFonts w:hint="eastAsia" w:ascii="Times New Roman" w:hAnsi="Times New Roman" w:eastAsia="仿宋_GB2312"/>
          <w:color w:val="000000" w:themeColor="text1"/>
          <w:kern w:val="0"/>
          <w:sz w:val="32"/>
          <w:szCs w:val="32"/>
          <w:lang w:val="zh-TW"/>
          <w14:textFill>
            <w14:solidFill>
              <w14:schemeClr w14:val="tx1"/>
            </w14:solidFill>
          </w14:textFill>
        </w:rPr>
        <w:t>较</w:t>
      </w:r>
      <w:r>
        <w:rPr>
          <w:rFonts w:ascii="Times New Roman" w:hAnsi="Times New Roman" w:eastAsia="仿宋_GB2312"/>
          <w:color w:val="000000" w:themeColor="text1"/>
          <w:kern w:val="0"/>
          <w:sz w:val="32"/>
          <w:szCs w:val="32"/>
          <w:lang w:val="zh-TW"/>
          <w14:textFill>
            <w14:solidFill>
              <w14:schemeClr w14:val="tx1"/>
            </w14:solidFill>
          </w14:textFill>
        </w:rPr>
        <w:t>多，为</w:t>
      </w:r>
      <w:r>
        <w:rPr>
          <w:rFonts w:hint="eastAsia" w:ascii="Times New Roman" w:hAnsi="Times New Roman" w:eastAsia="仿宋_GB2312"/>
          <w:color w:val="000000" w:themeColor="text1"/>
          <w:kern w:val="0"/>
          <w:sz w:val="32"/>
          <w:szCs w:val="32"/>
          <w:lang w:val="zh-TW"/>
          <w14:textFill>
            <w14:solidFill>
              <w14:schemeClr w14:val="tx1"/>
            </w14:solidFill>
          </w14:textFill>
        </w:rPr>
        <w:t>2.24</w:t>
      </w:r>
      <w:r>
        <w:rPr>
          <w:rFonts w:ascii="Times New Roman" w:hAnsi="Times New Roman" w:eastAsia="仿宋_GB2312"/>
          <w:color w:val="000000" w:themeColor="text1"/>
          <w:kern w:val="0"/>
          <w:sz w:val="32"/>
          <w:szCs w:val="32"/>
          <w:lang w:val="zh-TW"/>
          <w14:textFill>
            <w14:solidFill>
              <w14:schemeClr w14:val="tx1"/>
            </w14:solidFill>
          </w14:textFill>
        </w:rPr>
        <w:t>宗（见表1</w:t>
      </w:r>
      <w:r>
        <w:rPr>
          <w:rFonts w:hint="eastAsia" w:ascii="Times New Roman" w:hAnsi="Times New Roman" w:eastAsia="仿宋_GB2312"/>
          <w:color w:val="000000" w:themeColor="text1"/>
          <w:kern w:val="0"/>
          <w:sz w:val="32"/>
          <w:szCs w:val="32"/>
          <w14:textFill>
            <w14:solidFill>
              <w14:schemeClr w14:val="tx1"/>
            </w14:solidFill>
          </w14:textFill>
        </w:rPr>
        <w:t>5</w:t>
      </w:r>
      <w:r>
        <w:rPr>
          <w:rFonts w:ascii="Times New Roman" w:hAnsi="Times New Roman" w:eastAsia="仿宋_GB2312"/>
          <w:color w:val="000000" w:themeColor="text1"/>
          <w:kern w:val="0"/>
          <w:sz w:val="32"/>
          <w:szCs w:val="32"/>
          <w:lang w:val="zh-TW"/>
          <w14:textFill>
            <w14:solidFill>
              <w14:schemeClr w14:val="tx1"/>
            </w14:solidFill>
          </w14:textFill>
        </w:rPr>
        <w:t>）。</w:t>
      </w:r>
    </w:p>
    <w:p w14:paraId="116017FA">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37A0533F">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表1</w:t>
      </w:r>
      <w:r>
        <w:rPr>
          <w:rFonts w:hint="eastAsia" w:ascii="Times New Roman" w:hAnsi="Times New Roman"/>
          <w:color w:val="000000" w:themeColor="text1"/>
          <w:sz w:val="24"/>
          <w14:textFill>
            <w14:solidFill>
              <w14:schemeClr w14:val="tx1"/>
            </w14:solidFill>
          </w14:textFill>
        </w:rPr>
        <w:t>5</w:t>
      </w:r>
      <w:r>
        <w:rPr>
          <w:rFonts w:ascii="Times New Roman" w:hAnsi="Times New Roman"/>
          <w:color w:val="000000" w:themeColor="text1"/>
          <w:sz w:val="24"/>
          <w14:textFill>
            <w14:solidFill>
              <w14:schemeClr w14:val="tx1"/>
            </w14:solidFill>
          </w14:textFill>
        </w:rPr>
        <w:t xml:space="preserve">  2024年投诉量排名前十的中介机构/服务品牌的店均投诉量</w:t>
      </w:r>
    </w:p>
    <w:tbl>
      <w:tblPr>
        <w:tblStyle w:val="19"/>
        <w:tblW w:w="8698" w:type="dxa"/>
        <w:jc w:val="center"/>
        <w:tblLayout w:type="autofit"/>
        <w:tblCellMar>
          <w:top w:w="0" w:type="dxa"/>
          <w:left w:w="108" w:type="dxa"/>
          <w:bottom w:w="0" w:type="dxa"/>
          <w:right w:w="108" w:type="dxa"/>
        </w:tblCellMar>
      </w:tblPr>
      <w:tblGrid>
        <w:gridCol w:w="665"/>
        <w:gridCol w:w="4858"/>
        <w:gridCol w:w="939"/>
        <w:gridCol w:w="1281"/>
        <w:gridCol w:w="955"/>
      </w:tblGrid>
      <w:tr w14:paraId="1C26178F">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nil"/>
              <w:right w:val="single" w:color="auto" w:sz="4" w:space="0"/>
            </w:tcBorders>
            <w:shd w:val="clear" w:color="auto" w:fill="auto"/>
            <w:vAlign w:val="center"/>
          </w:tcPr>
          <w:p w14:paraId="42B41F16">
            <w:pPr>
              <w:snapToGrid w:val="0"/>
              <w:jc w:val="center"/>
              <w:rPr>
                <w:rFonts w:ascii="Times New Roman" w:hAnsi="Times New Roman" w:eastAsia="仿宋"/>
                <w:b/>
                <w:color w:val="000000" w:themeColor="text1"/>
                <w:kern w:val="0"/>
                <w:sz w:val="24"/>
                <w:szCs w:val="24"/>
                <w14:textFill>
                  <w14:solidFill>
                    <w14:schemeClr w14:val="tx1"/>
                  </w14:solidFill>
                </w14:textFill>
              </w:rPr>
            </w:pPr>
            <w:r>
              <w:rPr>
                <w:rFonts w:ascii="Times New Roman" w:hAnsi="Times New Roman" w:eastAsia="仿宋"/>
                <w:b/>
                <w:color w:val="000000" w:themeColor="text1"/>
                <w:kern w:val="0"/>
                <w:sz w:val="24"/>
                <w:szCs w:val="24"/>
                <w14:textFill>
                  <w14:solidFill>
                    <w14:schemeClr w14:val="tx1"/>
                  </w14:solidFill>
                </w14:textFill>
              </w:rPr>
              <w:t>序号</w:t>
            </w:r>
          </w:p>
        </w:tc>
        <w:tc>
          <w:tcPr>
            <w:tcW w:w="4858" w:type="dxa"/>
            <w:tcBorders>
              <w:top w:val="single" w:color="auto" w:sz="4" w:space="0"/>
              <w:left w:val="nil"/>
              <w:bottom w:val="nil"/>
              <w:right w:val="single" w:color="auto" w:sz="4" w:space="0"/>
            </w:tcBorders>
            <w:shd w:val="clear" w:color="auto" w:fill="auto"/>
            <w:vAlign w:val="center"/>
          </w:tcPr>
          <w:p w14:paraId="211C0786">
            <w:pPr>
              <w:snapToGrid w:val="0"/>
              <w:jc w:val="center"/>
              <w:rPr>
                <w:rFonts w:ascii="Times New Roman" w:hAnsi="Times New Roman" w:eastAsia="仿宋"/>
                <w:b/>
                <w:color w:val="000000" w:themeColor="text1"/>
                <w:kern w:val="0"/>
                <w:sz w:val="24"/>
                <w:szCs w:val="24"/>
                <w14:textFill>
                  <w14:solidFill>
                    <w14:schemeClr w14:val="tx1"/>
                  </w14:solidFill>
                </w14:textFill>
              </w:rPr>
            </w:pPr>
            <w:r>
              <w:rPr>
                <w:rFonts w:ascii="Times New Roman" w:hAnsi="Times New Roman" w:eastAsia="仿宋"/>
                <w:b/>
                <w:color w:val="000000" w:themeColor="text1"/>
                <w:kern w:val="0"/>
                <w:sz w:val="24"/>
                <w:szCs w:val="24"/>
                <w14:textFill>
                  <w14:solidFill>
                    <w14:schemeClr w14:val="tx1"/>
                  </w14:solidFill>
                </w14:textFill>
              </w:rPr>
              <w:t>中介机构/服务品牌名称</w:t>
            </w:r>
          </w:p>
        </w:tc>
        <w:tc>
          <w:tcPr>
            <w:tcW w:w="939" w:type="dxa"/>
            <w:tcBorders>
              <w:top w:val="single" w:color="auto" w:sz="4" w:space="0"/>
              <w:left w:val="nil"/>
              <w:bottom w:val="nil"/>
              <w:right w:val="single" w:color="auto" w:sz="4" w:space="0"/>
            </w:tcBorders>
            <w:shd w:val="clear" w:color="auto" w:fill="auto"/>
            <w:vAlign w:val="center"/>
          </w:tcPr>
          <w:p w14:paraId="3CAB1D19">
            <w:pPr>
              <w:snapToGrid w:val="0"/>
              <w:jc w:val="center"/>
              <w:rPr>
                <w:rFonts w:ascii="Times New Roman" w:hAnsi="Times New Roman" w:eastAsia="仿宋"/>
                <w:b/>
                <w:color w:val="000000" w:themeColor="text1"/>
                <w:kern w:val="0"/>
                <w:sz w:val="24"/>
                <w:szCs w:val="24"/>
                <w14:textFill>
                  <w14:solidFill>
                    <w14:schemeClr w14:val="tx1"/>
                  </w14:solidFill>
                </w14:textFill>
              </w:rPr>
            </w:pPr>
            <w:r>
              <w:rPr>
                <w:rFonts w:ascii="Times New Roman" w:hAnsi="Times New Roman" w:eastAsia="仿宋"/>
                <w:b/>
                <w:color w:val="000000" w:themeColor="text1"/>
                <w:kern w:val="0"/>
                <w:sz w:val="24"/>
                <w:szCs w:val="24"/>
                <w14:textFill>
                  <w14:solidFill>
                    <w14:schemeClr w14:val="tx1"/>
                  </w14:solidFill>
                </w14:textFill>
              </w:rPr>
              <w:t>涉诉量</w:t>
            </w:r>
          </w:p>
          <w:p w14:paraId="665D0A9F">
            <w:pPr>
              <w:snapToGrid w:val="0"/>
              <w:jc w:val="center"/>
              <w:rPr>
                <w:rFonts w:ascii="Times New Roman" w:hAnsi="Times New Roman" w:eastAsia="仿宋"/>
                <w:b/>
                <w:color w:val="000000" w:themeColor="text1"/>
                <w:kern w:val="0"/>
                <w:sz w:val="24"/>
                <w:szCs w:val="24"/>
                <w14:textFill>
                  <w14:solidFill>
                    <w14:schemeClr w14:val="tx1"/>
                  </w14:solidFill>
                </w14:textFill>
              </w:rPr>
            </w:pPr>
            <w:r>
              <w:rPr>
                <w:rFonts w:ascii="Times New Roman" w:hAnsi="Times New Roman" w:eastAsia="仿宋"/>
                <w:b/>
                <w:color w:val="000000" w:themeColor="text1"/>
                <w:kern w:val="0"/>
                <w:sz w:val="24"/>
                <w:szCs w:val="24"/>
                <w14:textFill>
                  <w14:solidFill>
                    <w14:schemeClr w14:val="tx1"/>
                  </w14:solidFill>
                </w14:textFill>
              </w:rPr>
              <w:t>（宗）</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0121BA79">
            <w:pPr>
              <w:snapToGrid w:val="0"/>
              <w:jc w:val="center"/>
              <w:rPr>
                <w:rFonts w:ascii="Times New Roman" w:hAnsi="Times New Roman" w:eastAsia="仿宋"/>
                <w:b/>
                <w:color w:val="000000" w:themeColor="text1"/>
                <w:kern w:val="0"/>
                <w:sz w:val="24"/>
                <w:szCs w:val="24"/>
                <w14:textFill>
                  <w14:solidFill>
                    <w14:schemeClr w14:val="tx1"/>
                  </w14:solidFill>
                </w14:textFill>
              </w:rPr>
            </w:pPr>
            <w:r>
              <w:rPr>
                <w:rFonts w:ascii="Times New Roman" w:hAnsi="Times New Roman" w:eastAsia="仿宋"/>
                <w:b/>
                <w:color w:val="000000" w:themeColor="text1"/>
                <w:kern w:val="0"/>
                <w:sz w:val="24"/>
                <w:szCs w:val="24"/>
                <w14:textFill>
                  <w14:solidFill>
                    <w14:schemeClr w14:val="tx1"/>
                  </w14:solidFill>
                </w14:textFill>
              </w:rPr>
              <w:t>覆盖的备案门店数量</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9571E4A">
            <w:pPr>
              <w:snapToGrid w:val="0"/>
              <w:jc w:val="center"/>
              <w:rPr>
                <w:rFonts w:ascii="Times New Roman" w:hAnsi="Times New Roman" w:eastAsia="仿宋"/>
                <w:b/>
                <w:color w:val="000000" w:themeColor="text1"/>
                <w:kern w:val="0"/>
                <w:sz w:val="24"/>
                <w:szCs w:val="24"/>
                <w14:textFill>
                  <w14:solidFill>
                    <w14:schemeClr w14:val="tx1"/>
                  </w14:solidFill>
                </w14:textFill>
              </w:rPr>
            </w:pPr>
            <w:r>
              <w:rPr>
                <w:rFonts w:ascii="Times New Roman" w:hAnsi="Times New Roman" w:eastAsia="仿宋"/>
                <w:b/>
                <w:color w:val="000000" w:themeColor="text1"/>
                <w:kern w:val="0"/>
                <w:sz w:val="24"/>
                <w:szCs w:val="24"/>
                <w14:textFill>
                  <w14:solidFill>
                    <w14:schemeClr w14:val="tx1"/>
                  </w14:solidFill>
                </w14:textFill>
              </w:rPr>
              <w:t>店均</w:t>
            </w:r>
          </w:p>
          <w:p w14:paraId="5F98DD61">
            <w:pPr>
              <w:snapToGrid w:val="0"/>
              <w:jc w:val="center"/>
              <w:rPr>
                <w:rFonts w:ascii="Times New Roman" w:hAnsi="Times New Roman" w:eastAsia="仿宋"/>
                <w:b/>
                <w:color w:val="000000" w:themeColor="text1"/>
                <w:kern w:val="0"/>
                <w:sz w:val="24"/>
                <w:szCs w:val="24"/>
                <w14:textFill>
                  <w14:solidFill>
                    <w14:schemeClr w14:val="tx1"/>
                  </w14:solidFill>
                </w14:textFill>
              </w:rPr>
            </w:pPr>
            <w:r>
              <w:rPr>
                <w:rFonts w:ascii="Times New Roman" w:hAnsi="Times New Roman" w:eastAsia="仿宋"/>
                <w:b/>
                <w:color w:val="000000" w:themeColor="text1"/>
                <w:kern w:val="0"/>
                <w:sz w:val="24"/>
                <w:szCs w:val="24"/>
                <w14:textFill>
                  <w14:solidFill>
                    <w14:schemeClr w14:val="tx1"/>
                  </w14:solidFill>
                </w14:textFill>
              </w:rPr>
              <w:t>投诉量</w:t>
            </w:r>
          </w:p>
        </w:tc>
      </w:tr>
      <w:tr w14:paraId="0573C07E">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14:paraId="0506C840">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w:t>
            </w:r>
          </w:p>
        </w:tc>
        <w:tc>
          <w:tcPr>
            <w:tcW w:w="4858" w:type="dxa"/>
            <w:tcBorders>
              <w:top w:val="single" w:color="auto" w:sz="4" w:space="0"/>
              <w:left w:val="nil"/>
              <w:bottom w:val="single" w:color="auto" w:sz="4" w:space="0"/>
              <w:right w:val="single" w:color="auto" w:sz="4" w:space="0"/>
            </w:tcBorders>
            <w:shd w:val="clear" w:color="auto" w:fill="auto"/>
            <w:vAlign w:val="center"/>
          </w:tcPr>
          <w:p w14:paraId="6157C4AE">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德佑</w:t>
            </w:r>
          </w:p>
          <w:p w14:paraId="5414F6AD">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（涉诉对象包含加盟并使用“德佑”品牌经营的门店）</w:t>
            </w:r>
          </w:p>
        </w:tc>
        <w:tc>
          <w:tcPr>
            <w:tcW w:w="939" w:type="dxa"/>
            <w:tcBorders>
              <w:top w:val="single" w:color="auto" w:sz="4" w:space="0"/>
              <w:left w:val="nil"/>
              <w:bottom w:val="single" w:color="auto" w:sz="4" w:space="0"/>
              <w:right w:val="single" w:color="auto" w:sz="4" w:space="0"/>
            </w:tcBorders>
            <w:shd w:val="clear" w:color="auto" w:fill="auto"/>
            <w:vAlign w:val="center"/>
          </w:tcPr>
          <w:p w14:paraId="1A5895B2">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93</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452FAD97">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850</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DCC0AA5">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0.11</w:t>
            </w:r>
          </w:p>
        </w:tc>
      </w:tr>
      <w:tr w14:paraId="25C9CECD">
        <w:tblPrEx>
          <w:tblCellMar>
            <w:top w:w="0" w:type="dxa"/>
            <w:left w:w="108" w:type="dxa"/>
            <w:bottom w:w="0" w:type="dxa"/>
            <w:right w:w="108" w:type="dxa"/>
          </w:tblCellMar>
        </w:tblPrEx>
        <w:trPr>
          <w:trHeight w:val="454" w:hRule="atLeast"/>
          <w:jc w:val="center"/>
        </w:trPr>
        <w:tc>
          <w:tcPr>
            <w:tcW w:w="665" w:type="dxa"/>
            <w:tcBorders>
              <w:top w:val="nil"/>
              <w:left w:val="single" w:color="auto" w:sz="4" w:space="0"/>
              <w:bottom w:val="single" w:color="auto" w:sz="4" w:space="0"/>
              <w:right w:val="single" w:color="auto" w:sz="4" w:space="0"/>
            </w:tcBorders>
            <w:shd w:val="clear" w:color="auto" w:fill="auto"/>
            <w:vAlign w:val="center"/>
          </w:tcPr>
          <w:p w14:paraId="446F4D49">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w:t>
            </w:r>
          </w:p>
        </w:tc>
        <w:tc>
          <w:tcPr>
            <w:tcW w:w="4858" w:type="dxa"/>
            <w:tcBorders>
              <w:top w:val="nil"/>
              <w:left w:val="nil"/>
              <w:bottom w:val="single" w:color="auto" w:sz="4" w:space="0"/>
              <w:right w:val="single" w:color="auto" w:sz="4" w:space="0"/>
            </w:tcBorders>
            <w:shd w:val="clear" w:color="auto" w:fill="auto"/>
            <w:vAlign w:val="center"/>
          </w:tcPr>
          <w:p w14:paraId="7D586CCB">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广东链家房地产经纪有限公司</w:t>
            </w:r>
          </w:p>
        </w:tc>
        <w:tc>
          <w:tcPr>
            <w:tcW w:w="939" w:type="dxa"/>
            <w:tcBorders>
              <w:top w:val="nil"/>
              <w:left w:val="nil"/>
              <w:bottom w:val="single" w:color="auto" w:sz="4" w:space="0"/>
              <w:right w:val="single" w:color="auto" w:sz="4" w:space="0"/>
            </w:tcBorders>
            <w:shd w:val="clear" w:color="auto" w:fill="auto"/>
            <w:vAlign w:val="center"/>
          </w:tcPr>
          <w:p w14:paraId="24AB982E">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69</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7741FA85">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bookmarkStart w:id="303" w:name="OLE_LINK24"/>
            <w:r>
              <w:rPr>
                <w:rFonts w:ascii="Times New Roman" w:hAnsi="Times New Roman"/>
                <w:color w:val="000000" w:themeColor="text1"/>
                <w:kern w:val="0"/>
                <w:sz w:val="24"/>
                <w:szCs w:val="24"/>
                <w:lang w:bidi="ar"/>
                <w14:textFill>
                  <w14:solidFill>
                    <w14:schemeClr w14:val="tx1"/>
                  </w14:solidFill>
                </w14:textFill>
              </w:rPr>
              <w:t>213</w:t>
            </w:r>
            <w:bookmarkEnd w:id="303"/>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695D6481">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0.32</w:t>
            </w:r>
          </w:p>
        </w:tc>
      </w:tr>
      <w:tr w14:paraId="0DFA758A">
        <w:tblPrEx>
          <w:tblCellMar>
            <w:top w:w="0" w:type="dxa"/>
            <w:left w:w="108" w:type="dxa"/>
            <w:bottom w:w="0" w:type="dxa"/>
            <w:right w:w="108" w:type="dxa"/>
          </w:tblCellMar>
        </w:tblPrEx>
        <w:trPr>
          <w:trHeight w:val="454" w:hRule="atLeast"/>
          <w:jc w:val="center"/>
        </w:trPr>
        <w:tc>
          <w:tcPr>
            <w:tcW w:w="665" w:type="dxa"/>
            <w:tcBorders>
              <w:top w:val="nil"/>
              <w:left w:val="single" w:color="auto" w:sz="4" w:space="0"/>
              <w:bottom w:val="single" w:color="auto" w:sz="4" w:space="0"/>
              <w:right w:val="single" w:color="auto" w:sz="4" w:space="0"/>
            </w:tcBorders>
            <w:shd w:val="clear" w:color="auto" w:fill="auto"/>
            <w:vAlign w:val="center"/>
          </w:tcPr>
          <w:p w14:paraId="5A58B324">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3</w:t>
            </w:r>
          </w:p>
        </w:tc>
        <w:tc>
          <w:tcPr>
            <w:tcW w:w="4858" w:type="dxa"/>
            <w:tcBorders>
              <w:top w:val="nil"/>
              <w:left w:val="nil"/>
              <w:bottom w:val="single" w:color="auto" w:sz="4" w:space="0"/>
              <w:right w:val="single" w:color="auto" w:sz="4" w:space="0"/>
            </w:tcBorders>
            <w:shd w:val="clear" w:color="auto" w:fill="auto"/>
            <w:vAlign w:val="center"/>
          </w:tcPr>
          <w:p w14:paraId="40A1220A">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裕丰地产</w:t>
            </w:r>
          </w:p>
          <w:p w14:paraId="6B43499F">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（涉诉对象包含加盟并使用“裕丰地产”品牌经营的门店）</w:t>
            </w:r>
          </w:p>
        </w:tc>
        <w:tc>
          <w:tcPr>
            <w:tcW w:w="939" w:type="dxa"/>
            <w:tcBorders>
              <w:top w:val="nil"/>
              <w:left w:val="nil"/>
              <w:bottom w:val="single" w:color="auto" w:sz="4" w:space="0"/>
              <w:right w:val="single" w:color="auto" w:sz="4" w:space="0"/>
            </w:tcBorders>
            <w:shd w:val="clear" w:color="auto" w:fill="auto"/>
            <w:vAlign w:val="center"/>
          </w:tcPr>
          <w:p w14:paraId="2078CA14">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61</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1519317F">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247</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6FC1074">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0.25</w:t>
            </w:r>
          </w:p>
        </w:tc>
      </w:tr>
      <w:tr w14:paraId="4D65680C">
        <w:tblPrEx>
          <w:tblCellMar>
            <w:top w:w="0" w:type="dxa"/>
            <w:left w:w="108" w:type="dxa"/>
            <w:bottom w:w="0" w:type="dxa"/>
            <w:right w:w="108" w:type="dxa"/>
          </w:tblCellMar>
        </w:tblPrEx>
        <w:trPr>
          <w:trHeight w:val="454" w:hRule="atLeast"/>
          <w:jc w:val="center"/>
        </w:trPr>
        <w:tc>
          <w:tcPr>
            <w:tcW w:w="665" w:type="dxa"/>
            <w:tcBorders>
              <w:top w:val="nil"/>
              <w:left w:val="single" w:color="auto" w:sz="4" w:space="0"/>
              <w:bottom w:val="single" w:color="auto" w:sz="4" w:space="0"/>
              <w:right w:val="single" w:color="auto" w:sz="4" w:space="0"/>
            </w:tcBorders>
            <w:shd w:val="clear" w:color="auto" w:fill="auto"/>
            <w:vAlign w:val="center"/>
          </w:tcPr>
          <w:p w14:paraId="6F8026C9">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w:t>
            </w:r>
          </w:p>
        </w:tc>
        <w:tc>
          <w:tcPr>
            <w:tcW w:w="4858" w:type="dxa"/>
            <w:tcBorders>
              <w:top w:val="nil"/>
              <w:left w:val="nil"/>
              <w:bottom w:val="single" w:color="auto" w:sz="4" w:space="0"/>
              <w:right w:val="single" w:color="auto" w:sz="4" w:space="0"/>
            </w:tcBorders>
            <w:shd w:val="clear" w:color="auto" w:fill="auto"/>
            <w:vAlign w:val="center"/>
          </w:tcPr>
          <w:p w14:paraId="7E847E83">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住商不动产</w:t>
            </w:r>
          </w:p>
          <w:p w14:paraId="47EDC778">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（涉诉对象包含加盟并使用“住商不动产”品牌经营的门店）</w:t>
            </w:r>
          </w:p>
        </w:tc>
        <w:tc>
          <w:tcPr>
            <w:tcW w:w="939" w:type="dxa"/>
            <w:tcBorders>
              <w:top w:val="nil"/>
              <w:left w:val="nil"/>
              <w:bottom w:val="single" w:color="auto" w:sz="4" w:space="0"/>
              <w:right w:val="single" w:color="auto" w:sz="4" w:space="0"/>
            </w:tcBorders>
            <w:shd w:val="clear" w:color="auto" w:fill="auto"/>
            <w:vAlign w:val="center"/>
          </w:tcPr>
          <w:p w14:paraId="34D8C6DF">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48</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427788B4">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316</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1334B153">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0.15</w:t>
            </w:r>
          </w:p>
        </w:tc>
      </w:tr>
      <w:tr w14:paraId="5707D7EB">
        <w:tblPrEx>
          <w:tblCellMar>
            <w:top w:w="0" w:type="dxa"/>
            <w:left w:w="108" w:type="dxa"/>
            <w:bottom w:w="0" w:type="dxa"/>
            <w:right w:w="108" w:type="dxa"/>
          </w:tblCellMar>
        </w:tblPrEx>
        <w:trPr>
          <w:trHeight w:val="454" w:hRule="atLeast"/>
          <w:jc w:val="center"/>
        </w:trPr>
        <w:tc>
          <w:tcPr>
            <w:tcW w:w="665" w:type="dxa"/>
            <w:tcBorders>
              <w:top w:val="nil"/>
              <w:left w:val="single" w:color="auto" w:sz="4" w:space="0"/>
              <w:bottom w:val="single" w:color="auto" w:sz="4" w:space="0"/>
              <w:right w:val="single" w:color="auto" w:sz="4" w:space="0"/>
            </w:tcBorders>
            <w:shd w:val="clear" w:color="auto" w:fill="auto"/>
            <w:vAlign w:val="center"/>
          </w:tcPr>
          <w:p w14:paraId="7CF616C2">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5</w:t>
            </w:r>
          </w:p>
        </w:tc>
        <w:tc>
          <w:tcPr>
            <w:tcW w:w="4858" w:type="dxa"/>
            <w:tcBorders>
              <w:top w:val="nil"/>
              <w:left w:val="nil"/>
              <w:bottom w:val="single" w:color="auto" w:sz="4" w:space="0"/>
              <w:right w:val="single" w:color="auto" w:sz="4" w:space="0"/>
            </w:tcBorders>
            <w:shd w:val="clear" w:color="auto" w:fill="auto"/>
            <w:vAlign w:val="center"/>
          </w:tcPr>
          <w:p w14:paraId="5A5D6463">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看房网</w:t>
            </w:r>
          </w:p>
          <w:p w14:paraId="27E8A6F1">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（涉诉对象包含加盟并使用“看房网”品牌经营的门店）</w:t>
            </w:r>
          </w:p>
        </w:tc>
        <w:tc>
          <w:tcPr>
            <w:tcW w:w="939" w:type="dxa"/>
            <w:tcBorders>
              <w:top w:val="nil"/>
              <w:left w:val="nil"/>
              <w:bottom w:val="single" w:color="auto" w:sz="4" w:space="0"/>
              <w:right w:val="single" w:color="auto" w:sz="4" w:space="0"/>
            </w:tcBorders>
            <w:shd w:val="clear" w:color="auto" w:fill="auto"/>
            <w:vAlign w:val="center"/>
          </w:tcPr>
          <w:p w14:paraId="7AF4E525">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38</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4D27DC96">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17</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7FE64C0">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2.24</w:t>
            </w:r>
          </w:p>
        </w:tc>
      </w:tr>
      <w:tr w14:paraId="457EE044">
        <w:tblPrEx>
          <w:tblCellMar>
            <w:top w:w="0" w:type="dxa"/>
            <w:left w:w="108" w:type="dxa"/>
            <w:bottom w:w="0" w:type="dxa"/>
            <w:right w:w="108" w:type="dxa"/>
          </w:tblCellMar>
        </w:tblPrEx>
        <w:trPr>
          <w:trHeight w:val="454" w:hRule="atLeast"/>
          <w:jc w:val="center"/>
        </w:trPr>
        <w:tc>
          <w:tcPr>
            <w:tcW w:w="665" w:type="dxa"/>
            <w:tcBorders>
              <w:top w:val="nil"/>
              <w:left w:val="single" w:color="auto" w:sz="4" w:space="0"/>
              <w:bottom w:val="single" w:color="auto" w:sz="4" w:space="0"/>
              <w:right w:val="single" w:color="auto" w:sz="4" w:space="0"/>
            </w:tcBorders>
            <w:shd w:val="clear" w:color="auto" w:fill="auto"/>
            <w:vAlign w:val="center"/>
          </w:tcPr>
          <w:p w14:paraId="0416F57F">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6</w:t>
            </w:r>
          </w:p>
        </w:tc>
        <w:tc>
          <w:tcPr>
            <w:tcW w:w="4858" w:type="dxa"/>
            <w:tcBorders>
              <w:top w:val="nil"/>
              <w:left w:val="nil"/>
              <w:bottom w:val="single" w:color="auto" w:sz="4" w:space="0"/>
              <w:right w:val="single" w:color="auto" w:sz="4" w:space="0"/>
            </w:tcBorders>
            <w:shd w:val="clear" w:color="auto" w:fill="auto"/>
            <w:vAlign w:val="center"/>
          </w:tcPr>
          <w:p w14:paraId="52483783">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共和地产</w:t>
            </w:r>
          </w:p>
          <w:p w14:paraId="096C36F5">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（涉诉对象包含加盟并使用“共和地产”品牌经营的门店）</w:t>
            </w:r>
          </w:p>
        </w:tc>
        <w:tc>
          <w:tcPr>
            <w:tcW w:w="939" w:type="dxa"/>
            <w:tcBorders>
              <w:top w:val="nil"/>
              <w:left w:val="nil"/>
              <w:bottom w:val="single" w:color="auto" w:sz="4" w:space="0"/>
              <w:right w:val="single" w:color="auto" w:sz="4" w:space="0"/>
            </w:tcBorders>
            <w:shd w:val="clear" w:color="auto" w:fill="auto"/>
            <w:vAlign w:val="center"/>
          </w:tcPr>
          <w:p w14:paraId="217F0670">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23</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13ED7128">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27</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3346513C">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0.85</w:t>
            </w:r>
          </w:p>
        </w:tc>
      </w:tr>
      <w:tr w14:paraId="1243048A">
        <w:tblPrEx>
          <w:tblCellMar>
            <w:top w:w="0" w:type="dxa"/>
            <w:left w:w="108" w:type="dxa"/>
            <w:bottom w:w="0" w:type="dxa"/>
            <w:right w:w="108" w:type="dxa"/>
          </w:tblCellMar>
        </w:tblPrEx>
        <w:trPr>
          <w:trHeight w:val="454" w:hRule="atLeast"/>
          <w:jc w:val="center"/>
        </w:trPr>
        <w:tc>
          <w:tcPr>
            <w:tcW w:w="665" w:type="dxa"/>
            <w:tcBorders>
              <w:top w:val="nil"/>
              <w:left w:val="single" w:color="auto" w:sz="4" w:space="0"/>
              <w:bottom w:val="single" w:color="auto" w:sz="4" w:space="0"/>
              <w:right w:val="single" w:color="auto" w:sz="4" w:space="0"/>
            </w:tcBorders>
            <w:shd w:val="clear" w:color="auto" w:fill="auto"/>
            <w:vAlign w:val="center"/>
          </w:tcPr>
          <w:p w14:paraId="694F6829">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7</w:t>
            </w:r>
          </w:p>
        </w:tc>
        <w:tc>
          <w:tcPr>
            <w:tcW w:w="4858" w:type="dxa"/>
            <w:tcBorders>
              <w:top w:val="nil"/>
              <w:left w:val="nil"/>
              <w:bottom w:val="single" w:color="auto" w:sz="4" w:space="0"/>
              <w:right w:val="single" w:color="auto" w:sz="4" w:space="0"/>
            </w:tcBorders>
            <w:shd w:val="clear" w:color="auto" w:fill="auto"/>
            <w:vAlign w:val="center"/>
          </w:tcPr>
          <w:p w14:paraId="7C59CFAC">
            <w:pPr>
              <w:widowControl/>
              <w:jc w:val="center"/>
              <w:textAlignment w:val="center"/>
              <w:rPr>
                <w:rFonts w:ascii="仿宋" w:hAnsi="仿宋" w:eastAsia="仿宋"/>
                <w:b/>
                <w:color w:val="000000" w:themeColor="text1"/>
                <w:sz w:val="24"/>
                <w:szCs w:val="24"/>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微诚好房（广东）科技有限公司</w:t>
            </w:r>
          </w:p>
        </w:tc>
        <w:tc>
          <w:tcPr>
            <w:tcW w:w="939" w:type="dxa"/>
            <w:tcBorders>
              <w:top w:val="nil"/>
              <w:left w:val="nil"/>
              <w:bottom w:val="single" w:color="auto" w:sz="4" w:space="0"/>
              <w:right w:val="single" w:color="auto" w:sz="4" w:space="0"/>
            </w:tcBorders>
            <w:shd w:val="clear" w:color="auto" w:fill="auto"/>
            <w:vAlign w:val="center"/>
          </w:tcPr>
          <w:p w14:paraId="75AF3A98">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18</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4F996856">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7429DAD0">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18.00</w:t>
            </w:r>
          </w:p>
        </w:tc>
      </w:tr>
      <w:tr w14:paraId="6A6EB362">
        <w:tblPrEx>
          <w:tblCellMar>
            <w:top w:w="0" w:type="dxa"/>
            <w:left w:w="108" w:type="dxa"/>
            <w:bottom w:w="0" w:type="dxa"/>
            <w:right w:w="108" w:type="dxa"/>
          </w:tblCellMar>
        </w:tblPrEx>
        <w:trPr>
          <w:trHeight w:val="454" w:hRule="atLeast"/>
          <w:jc w:val="center"/>
        </w:trPr>
        <w:tc>
          <w:tcPr>
            <w:tcW w:w="665" w:type="dxa"/>
            <w:tcBorders>
              <w:top w:val="nil"/>
              <w:left w:val="single" w:color="auto" w:sz="4" w:space="0"/>
              <w:bottom w:val="single" w:color="auto" w:sz="4" w:space="0"/>
              <w:right w:val="single" w:color="auto" w:sz="4" w:space="0"/>
            </w:tcBorders>
            <w:shd w:val="clear" w:color="auto" w:fill="auto"/>
            <w:vAlign w:val="center"/>
          </w:tcPr>
          <w:p w14:paraId="3B527672">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8</w:t>
            </w:r>
          </w:p>
        </w:tc>
        <w:tc>
          <w:tcPr>
            <w:tcW w:w="4858" w:type="dxa"/>
            <w:tcBorders>
              <w:top w:val="nil"/>
              <w:left w:val="nil"/>
              <w:bottom w:val="single" w:color="auto" w:sz="4" w:space="0"/>
              <w:right w:val="single" w:color="auto" w:sz="4" w:space="0"/>
            </w:tcBorders>
            <w:shd w:val="clear" w:color="auto" w:fill="auto"/>
            <w:vAlign w:val="center"/>
          </w:tcPr>
          <w:p w14:paraId="522738A8">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糯家</w:t>
            </w:r>
          </w:p>
          <w:p w14:paraId="071CEEBE">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（涉诉对象包含加盟并使用“糯家”品牌经营的门店）</w:t>
            </w:r>
          </w:p>
        </w:tc>
        <w:tc>
          <w:tcPr>
            <w:tcW w:w="939" w:type="dxa"/>
            <w:tcBorders>
              <w:top w:val="nil"/>
              <w:left w:val="nil"/>
              <w:bottom w:val="single" w:color="auto" w:sz="4" w:space="0"/>
              <w:right w:val="single" w:color="auto" w:sz="4" w:space="0"/>
            </w:tcBorders>
            <w:shd w:val="clear" w:color="auto" w:fill="auto"/>
            <w:vAlign w:val="center"/>
          </w:tcPr>
          <w:p w14:paraId="38B58A63">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17</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7D145245">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102</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0086514B">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0.17</w:t>
            </w:r>
          </w:p>
        </w:tc>
      </w:tr>
      <w:tr w14:paraId="00DFC3C9">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14:paraId="08DF42ED">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9</w:t>
            </w:r>
          </w:p>
        </w:tc>
        <w:tc>
          <w:tcPr>
            <w:tcW w:w="4858" w:type="dxa"/>
            <w:tcBorders>
              <w:top w:val="single" w:color="auto" w:sz="4" w:space="0"/>
              <w:left w:val="single" w:color="auto" w:sz="4" w:space="0"/>
              <w:bottom w:val="single" w:color="auto" w:sz="4" w:space="0"/>
              <w:right w:val="single" w:color="auto" w:sz="4" w:space="0"/>
            </w:tcBorders>
            <w:shd w:val="clear" w:color="auto" w:fill="auto"/>
            <w:vAlign w:val="center"/>
          </w:tcPr>
          <w:p w14:paraId="618D49B8">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置家</w:t>
            </w:r>
          </w:p>
          <w:p w14:paraId="27901468">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（涉诉对象包含加盟并使用“置家”品牌经营的门店）</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2AA97D9B">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17</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1DA1E2D4">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241</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38115958">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0.07</w:t>
            </w:r>
          </w:p>
        </w:tc>
      </w:tr>
      <w:tr w14:paraId="2D0FDA09">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14:paraId="71514F6C">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10</w:t>
            </w:r>
          </w:p>
        </w:tc>
        <w:tc>
          <w:tcPr>
            <w:tcW w:w="4858" w:type="dxa"/>
            <w:tcBorders>
              <w:top w:val="single" w:color="auto" w:sz="4" w:space="0"/>
              <w:left w:val="single" w:color="auto" w:sz="4" w:space="0"/>
              <w:bottom w:val="single" w:color="auto" w:sz="4" w:space="0"/>
              <w:right w:val="single" w:color="auto" w:sz="4" w:space="0"/>
            </w:tcBorders>
            <w:shd w:val="clear" w:color="auto" w:fill="auto"/>
            <w:vAlign w:val="center"/>
          </w:tcPr>
          <w:p w14:paraId="79E8A4E0">
            <w:pPr>
              <w:widowControl/>
              <w:jc w:val="center"/>
              <w:textAlignment w:val="center"/>
              <w:rPr>
                <w:rFonts w:ascii="仿宋" w:hAnsi="仿宋" w:eastAsia="仿宋"/>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广东中原地产代理有限公司</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3C43D734">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12</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72441FAA">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bookmarkStart w:id="304" w:name="OLE_LINK25"/>
            <w:r>
              <w:rPr>
                <w:rFonts w:ascii="Times New Roman" w:hAnsi="Times New Roman"/>
                <w:color w:val="000000" w:themeColor="text1"/>
                <w:kern w:val="0"/>
                <w:sz w:val="24"/>
                <w:szCs w:val="24"/>
                <w:lang w:bidi="ar"/>
                <w14:textFill>
                  <w14:solidFill>
                    <w14:schemeClr w14:val="tx1"/>
                  </w14:solidFill>
                </w14:textFill>
              </w:rPr>
              <w:t>60</w:t>
            </w:r>
            <w:bookmarkEnd w:id="304"/>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6A24C2A">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0.20</w:t>
            </w:r>
          </w:p>
        </w:tc>
      </w:tr>
      <w:tr w14:paraId="4533926F">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14:paraId="4328F11B">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11</w:t>
            </w:r>
          </w:p>
        </w:tc>
        <w:tc>
          <w:tcPr>
            <w:tcW w:w="4858" w:type="dxa"/>
            <w:tcBorders>
              <w:top w:val="single" w:color="auto" w:sz="4" w:space="0"/>
              <w:left w:val="single" w:color="auto" w:sz="4" w:space="0"/>
              <w:bottom w:val="single" w:color="auto" w:sz="4" w:space="0"/>
              <w:right w:val="single" w:color="auto" w:sz="4" w:space="0"/>
            </w:tcBorders>
            <w:shd w:val="clear" w:color="auto" w:fill="auto"/>
            <w:vAlign w:val="center"/>
          </w:tcPr>
          <w:p w14:paraId="7CF21997">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德诚行</w:t>
            </w:r>
          </w:p>
          <w:p w14:paraId="18DF8A77">
            <w:pPr>
              <w:widowControl/>
              <w:jc w:val="center"/>
              <w:textAlignment w:val="center"/>
              <w:rPr>
                <w:rFonts w:ascii="仿宋" w:hAnsi="仿宋" w:eastAsia="仿宋"/>
                <w:color w:val="000000" w:themeColor="text1"/>
                <w:kern w:val="0"/>
                <w:sz w:val="24"/>
                <w:szCs w:val="24"/>
                <w:lang w:bidi="ar"/>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（涉诉对象包含加盟并使用“德诚行”品牌经营的门店）</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268218B3">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11</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06CBDBE4">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21</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6A2C3761">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0.52</w:t>
            </w:r>
          </w:p>
        </w:tc>
      </w:tr>
      <w:tr w14:paraId="440FD8A4">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14:paraId="72BC4997">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12</w:t>
            </w:r>
          </w:p>
        </w:tc>
        <w:tc>
          <w:tcPr>
            <w:tcW w:w="4858" w:type="dxa"/>
            <w:tcBorders>
              <w:top w:val="single" w:color="auto" w:sz="4" w:space="0"/>
              <w:left w:val="single" w:color="auto" w:sz="4" w:space="0"/>
              <w:bottom w:val="single" w:color="auto" w:sz="4" w:space="0"/>
              <w:right w:val="single" w:color="auto" w:sz="4" w:space="0"/>
            </w:tcBorders>
            <w:shd w:val="clear" w:color="auto" w:fill="auto"/>
            <w:vAlign w:val="center"/>
          </w:tcPr>
          <w:p w14:paraId="7CBAA567">
            <w:pPr>
              <w:widowControl/>
              <w:jc w:val="center"/>
              <w:textAlignment w:val="center"/>
              <w:rPr>
                <w:rFonts w:ascii="仿宋" w:hAnsi="仿宋" w:eastAsia="仿宋"/>
                <w:color w:val="000000" w:themeColor="text1"/>
                <w:kern w:val="0"/>
                <w:sz w:val="24"/>
                <w:szCs w:val="24"/>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广州葡东按揭咨询服务有限公司</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6CF6FBFF">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10</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5890284D">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5C85C2B0">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10.00</w:t>
            </w:r>
          </w:p>
        </w:tc>
      </w:tr>
      <w:tr w14:paraId="7237062E">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14:paraId="7A491018">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13</w:t>
            </w:r>
          </w:p>
        </w:tc>
        <w:tc>
          <w:tcPr>
            <w:tcW w:w="4858" w:type="dxa"/>
            <w:tcBorders>
              <w:top w:val="single" w:color="auto" w:sz="4" w:space="0"/>
              <w:left w:val="single" w:color="auto" w:sz="4" w:space="0"/>
              <w:bottom w:val="single" w:color="auto" w:sz="4" w:space="0"/>
              <w:right w:val="single" w:color="auto" w:sz="4" w:space="0"/>
            </w:tcBorders>
            <w:shd w:val="clear" w:color="auto" w:fill="auto"/>
            <w:vAlign w:val="center"/>
          </w:tcPr>
          <w:p w14:paraId="331FD92D">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乐远</w:t>
            </w:r>
          </w:p>
          <w:p w14:paraId="1488E9DA">
            <w:pPr>
              <w:widowControl/>
              <w:jc w:val="center"/>
              <w:textAlignment w:val="center"/>
              <w:rPr>
                <w:rFonts w:ascii="仿宋" w:hAnsi="仿宋" w:eastAsia="仿宋"/>
                <w:color w:val="000000" w:themeColor="text1"/>
                <w:kern w:val="0"/>
                <w:sz w:val="24"/>
                <w:szCs w:val="24"/>
                <w:lang w:bidi="ar"/>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（涉诉对象包含加盟并使用“乐远”品牌经营的门店）</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7E18C071">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9</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2995F3F6">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106</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5E09ADE4">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0.08</w:t>
            </w:r>
          </w:p>
        </w:tc>
      </w:tr>
      <w:tr w14:paraId="7C242DA9">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14:paraId="769E84AC">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14</w:t>
            </w:r>
          </w:p>
        </w:tc>
        <w:tc>
          <w:tcPr>
            <w:tcW w:w="4858" w:type="dxa"/>
            <w:tcBorders>
              <w:top w:val="single" w:color="auto" w:sz="4" w:space="0"/>
              <w:left w:val="single" w:color="auto" w:sz="4" w:space="0"/>
              <w:bottom w:val="single" w:color="auto" w:sz="4" w:space="0"/>
              <w:right w:val="single" w:color="auto" w:sz="4" w:space="0"/>
            </w:tcBorders>
            <w:shd w:val="clear" w:color="auto" w:fill="auto"/>
            <w:vAlign w:val="center"/>
          </w:tcPr>
          <w:p w14:paraId="3FFAE0C6">
            <w:pPr>
              <w:widowControl/>
              <w:jc w:val="center"/>
              <w:textAlignment w:val="center"/>
              <w:rPr>
                <w:rFonts w:ascii="仿宋" w:hAnsi="仿宋" w:eastAsia="仿宋"/>
                <w:b/>
                <w:color w:val="000000" w:themeColor="text1"/>
                <w:kern w:val="0"/>
                <w:sz w:val="24"/>
                <w:szCs w:val="24"/>
                <w:lang w:bidi="ar"/>
                <w14:textFill>
                  <w14:solidFill>
                    <w14:schemeClr w14:val="tx1"/>
                  </w14:solidFill>
                </w14:textFill>
              </w:rPr>
            </w:pPr>
            <w:r>
              <w:rPr>
                <w:rFonts w:ascii="仿宋" w:hAnsi="仿宋" w:eastAsia="仿宋"/>
                <w:b/>
                <w:color w:val="000000" w:themeColor="text1"/>
                <w:kern w:val="0"/>
                <w:sz w:val="24"/>
                <w:szCs w:val="24"/>
                <w:lang w:bidi="ar"/>
                <w14:textFill>
                  <w14:solidFill>
                    <w14:schemeClr w14:val="tx1"/>
                  </w14:solidFill>
                </w14:textFill>
              </w:rPr>
              <w:t>住天下</w:t>
            </w:r>
          </w:p>
          <w:p w14:paraId="3D8727C7">
            <w:pPr>
              <w:widowControl/>
              <w:jc w:val="center"/>
              <w:textAlignment w:val="center"/>
              <w:rPr>
                <w:rFonts w:ascii="仿宋" w:hAnsi="仿宋" w:eastAsia="仿宋"/>
                <w:color w:val="000000" w:themeColor="text1"/>
                <w:kern w:val="0"/>
                <w:sz w:val="24"/>
                <w:szCs w:val="24"/>
                <w:lang w:bidi="ar"/>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（涉诉对象包含加盟并使用“住天下”品牌经营的门店）</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7A8FCF3E">
            <w:pPr>
              <w:widowControl/>
              <w:spacing w:line="560" w:lineRule="exact"/>
              <w:jc w:val="center"/>
              <w:textAlignment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9</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3D4D93E4">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84</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330E88FB">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0.11</w:t>
            </w:r>
          </w:p>
        </w:tc>
      </w:tr>
      <w:tr w14:paraId="6A486427">
        <w:tblPrEx>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shd w:val="clear" w:color="auto" w:fill="auto"/>
            <w:vAlign w:val="center"/>
          </w:tcPr>
          <w:p w14:paraId="36792E4A">
            <w:pPr>
              <w:spacing w:line="560" w:lineRule="exact"/>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15</w:t>
            </w:r>
          </w:p>
        </w:tc>
        <w:tc>
          <w:tcPr>
            <w:tcW w:w="4858" w:type="dxa"/>
            <w:tcBorders>
              <w:top w:val="single" w:color="auto" w:sz="4" w:space="0"/>
              <w:left w:val="single" w:color="auto" w:sz="4" w:space="0"/>
              <w:bottom w:val="single" w:color="auto" w:sz="4" w:space="0"/>
              <w:right w:val="single" w:color="auto" w:sz="4" w:space="0"/>
            </w:tcBorders>
            <w:shd w:val="clear" w:color="auto" w:fill="auto"/>
            <w:vAlign w:val="center"/>
          </w:tcPr>
          <w:p w14:paraId="390B9A99">
            <w:pPr>
              <w:widowControl/>
              <w:jc w:val="center"/>
              <w:textAlignment w:val="center"/>
              <w:rPr>
                <w:rFonts w:ascii="Times New Roman" w:hAnsi="Times New Roman" w:eastAsia="仿宋"/>
                <w:b/>
                <w:color w:val="000000" w:themeColor="text1"/>
                <w:kern w:val="0"/>
                <w:sz w:val="24"/>
                <w:szCs w:val="24"/>
                <w:lang w:bidi="ar"/>
                <w14:textFill>
                  <w14:solidFill>
                    <w14:schemeClr w14:val="tx1"/>
                  </w14:solidFill>
                </w14:textFill>
              </w:rPr>
            </w:pPr>
            <w:r>
              <w:rPr>
                <w:rFonts w:ascii="Times New Roman" w:hAnsi="Times New Roman" w:eastAsia="仿宋"/>
                <w:b/>
                <w:color w:val="000000" w:themeColor="text1"/>
                <w:kern w:val="0"/>
                <w:sz w:val="24"/>
                <w:szCs w:val="24"/>
                <w:lang w:bidi="ar"/>
                <w14:textFill>
                  <w14:solidFill>
                    <w14:schemeClr w14:val="tx1"/>
                  </w14:solidFill>
                </w14:textFill>
              </w:rPr>
              <w:t>优居广州</w:t>
            </w:r>
          </w:p>
          <w:p w14:paraId="24B7E047">
            <w:pPr>
              <w:widowControl/>
              <w:jc w:val="center"/>
              <w:textAlignment w:val="center"/>
              <w:rPr>
                <w:rFonts w:ascii="仿宋" w:hAnsi="仿宋" w:eastAsia="仿宋"/>
                <w:color w:val="000000" w:themeColor="text1"/>
                <w:kern w:val="0"/>
                <w:sz w:val="24"/>
                <w:szCs w:val="24"/>
                <w:lang w:bidi="ar"/>
                <w14:textFill>
                  <w14:solidFill>
                    <w14:schemeClr w14:val="tx1"/>
                  </w14:solidFill>
                </w14:textFill>
              </w:rPr>
            </w:pPr>
            <w:r>
              <w:rPr>
                <w:rFonts w:ascii="仿宋" w:hAnsi="仿宋" w:eastAsia="仿宋"/>
                <w:color w:val="000000" w:themeColor="text1"/>
                <w:kern w:val="0"/>
                <w:sz w:val="24"/>
                <w:szCs w:val="24"/>
                <w:lang w:bidi="ar"/>
                <w14:textFill>
                  <w14:solidFill>
                    <w14:schemeClr w14:val="tx1"/>
                  </w14:solidFill>
                </w14:textFill>
              </w:rPr>
              <w:t>（涉诉对象包含加盟并使用“优居”品牌经营的门店）</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126C94BD">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8</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223FAFDF">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66</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069E4810">
            <w:pPr>
              <w:widowControl/>
              <w:spacing w:line="560" w:lineRule="exact"/>
              <w:jc w:val="center"/>
              <w:textAlignment w:val="center"/>
              <w:rPr>
                <w:rFonts w:ascii="Times New Roman" w:hAnsi="Times New Roman"/>
                <w:color w:val="000000" w:themeColor="text1"/>
                <w:kern w:val="0"/>
                <w:sz w:val="24"/>
                <w:szCs w:val="24"/>
                <w:lang w:bidi="ar"/>
                <w14:textFill>
                  <w14:solidFill>
                    <w14:schemeClr w14:val="tx1"/>
                  </w14:solidFill>
                </w14:textFill>
              </w:rPr>
            </w:pPr>
            <w:r>
              <w:rPr>
                <w:rFonts w:ascii="Times New Roman" w:hAnsi="Times New Roman"/>
                <w:color w:val="000000" w:themeColor="text1"/>
                <w:kern w:val="0"/>
                <w:sz w:val="24"/>
                <w:szCs w:val="24"/>
                <w:lang w:bidi="ar"/>
                <w14:textFill>
                  <w14:solidFill>
                    <w14:schemeClr w14:val="tx1"/>
                  </w14:solidFill>
                </w14:textFill>
              </w:rPr>
              <w:t>0.12</w:t>
            </w:r>
          </w:p>
        </w:tc>
      </w:tr>
    </w:tbl>
    <w:p w14:paraId="7B76AE3E">
      <w:pPr>
        <w:wordWrap w:val="0"/>
        <w:spacing w:line="360" w:lineRule="auto"/>
        <w:jc w:val="right"/>
        <w:rPr>
          <w:rFonts w:ascii="Times New Roman" w:hAnsi="Times New Roman" w:eastAsiaTheme="minorEastAsia"/>
          <w:color w:val="000000" w:themeColor="text1"/>
          <w:szCs w:val="28"/>
          <w14:textFill>
            <w14:solidFill>
              <w14:schemeClr w14:val="tx1"/>
            </w14:solidFill>
          </w14:textFill>
        </w:rPr>
      </w:pPr>
      <w:r>
        <w:rPr>
          <w:rFonts w:ascii="Times New Roman" w:hAnsi="Times New Roman" w:eastAsiaTheme="minorEastAsia"/>
          <w:color w:val="000000" w:themeColor="text1"/>
          <w:szCs w:val="28"/>
          <w14:textFill>
            <w14:solidFill>
              <w14:schemeClr w14:val="tx1"/>
            </w14:solidFill>
          </w14:textFill>
        </w:rPr>
        <w:t>数据来源：广州市房屋交易监管中心</w:t>
      </w:r>
    </w:p>
    <w:p w14:paraId="777AF2ED">
      <w:pPr>
        <w:numPr>
          <w:ilvl w:val="255"/>
          <w:numId w:val="0"/>
        </w:numPr>
        <w:spacing w:before="120" w:beforeLines="50" w:after="120" w:afterLines="50" w:line="360" w:lineRule="auto"/>
        <w:ind w:firstLine="562" w:firstLineChars="200"/>
        <w:jc w:val="left"/>
        <w:outlineLvl w:val="1"/>
        <w:rPr>
          <w:rFonts w:ascii="Times New Roman" w:hAnsi="Times New Roman"/>
          <w:b/>
          <w:bCs/>
          <w:color w:val="000000" w:themeColor="text1"/>
          <w:sz w:val="28"/>
          <w:szCs w:val="36"/>
          <w14:textFill>
            <w14:solidFill>
              <w14:schemeClr w14:val="tx1"/>
            </w14:solidFill>
          </w14:textFill>
        </w:rPr>
      </w:pPr>
      <w:bookmarkStart w:id="305" w:name="_Toc129694166"/>
      <w:bookmarkStart w:id="306" w:name="_Toc129694236"/>
      <w:bookmarkStart w:id="307" w:name="_Toc129769286"/>
      <w:bookmarkStart w:id="308" w:name="_Toc129785108"/>
      <w:bookmarkStart w:id="309" w:name="_Toc160185286"/>
      <w:bookmarkStart w:id="310" w:name="_Toc192845461"/>
      <w:bookmarkStart w:id="311" w:name="_Toc159513637"/>
      <w:bookmarkStart w:id="312" w:name="_Toc191915781"/>
      <w:bookmarkStart w:id="313" w:name="_Toc4532"/>
      <w:bookmarkStart w:id="314" w:name="_Toc23271"/>
      <w:bookmarkStart w:id="315" w:name="_Toc26805"/>
      <w:bookmarkStart w:id="316" w:name="_Toc128753710"/>
      <w:bookmarkStart w:id="317" w:name="_Toc26152"/>
      <w:bookmarkStart w:id="318" w:name="_Toc27432"/>
      <w:bookmarkStart w:id="319" w:name="_Toc9940"/>
      <w:bookmarkStart w:id="320" w:name="_Toc127875413"/>
      <w:bookmarkStart w:id="321" w:name="_Toc121991222"/>
      <w:bookmarkStart w:id="322" w:name="_Toc26345"/>
      <w:bookmarkStart w:id="323" w:name="_Toc31812"/>
      <w:bookmarkStart w:id="324" w:name="_Toc10167"/>
      <w:bookmarkStart w:id="325" w:name="_Toc21501"/>
      <w:bookmarkStart w:id="326" w:name="_Toc128564718"/>
      <w:bookmarkStart w:id="327" w:name="_Toc4792"/>
      <w:bookmarkStart w:id="328" w:name="_Toc12549"/>
      <w:bookmarkStart w:id="329" w:name="_Toc21977"/>
      <w:bookmarkStart w:id="330" w:name="_Toc29806"/>
      <w:bookmarkStart w:id="331" w:name="_Toc4145"/>
      <w:bookmarkStart w:id="332" w:name="_Toc32662"/>
      <w:bookmarkStart w:id="333" w:name="_Toc11040"/>
      <w:bookmarkStart w:id="334" w:name="_Toc10480"/>
      <w:bookmarkStart w:id="335" w:name="_Toc23922"/>
      <w:bookmarkStart w:id="336" w:name="_Toc13351"/>
      <w:bookmarkStart w:id="337" w:name="_Toc23713"/>
      <w:bookmarkStart w:id="338" w:name="_Toc20979"/>
      <w:bookmarkStart w:id="339" w:name="_Toc25946"/>
      <w:bookmarkStart w:id="340" w:name="_Toc13004"/>
      <w:bookmarkStart w:id="341" w:name="_Toc28121"/>
      <w:r>
        <w:rPr>
          <w:rFonts w:ascii="Times New Roman" w:hAnsi="Times New Roman"/>
          <w:b/>
          <w:bCs/>
          <w:color w:val="000000" w:themeColor="text1"/>
          <w:sz w:val="28"/>
          <w:szCs w:val="36"/>
          <w14:textFill>
            <w14:solidFill>
              <w14:schemeClr w14:val="tx1"/>
            </w14:solidFill>
          </w14:textFill>
        </w:rPr>
        <w:t>2</w:t>
      </w:r>
      <w:r>
        <w:rPr>
          <w:rFonts w:hint="eastAsia" w:ascii="Times New Roman" w:hAnsi="Times New Roman"/>
          <w:b/>
          <w:bCs/>
          <w:color w:val="000000" w:themeColor="text1"/>
          <w:sz w:val="28"/>
          <w:szCs w:val="36"/>
          <w14:textFill>
            <w14:solidFill>
              <w14:schemeClr w14:val="tx1"/>
            </w14:solidFill>
          </w14:textFill>
        </w:rPr>
        <w:t>.</w:t>
      </w:r>
      <w:r>
        <w:rPr>
          <w:rFonts w:ascii="Times New Roman" w:hAnsi="Times New Roman"/>
          <w:b/>
          <w:bCs/>
          <w:color w:val="000000" w:themeColor="text1"/>
          <w:sz w:val="28"/>
          <w:szCs w:val="36"/>
          <w14:textFill>
            <w14:solidFill>
              <w14:schemeClr w14:val="tx1"/>
            </w14:solidFill>
          </w14:textFill>
        </w:rPr>
        <w:t>互联网房源信息发布平台</w:t>
      </w:r>
      <w:bookmarkEnd w:id="305"/>
      <w:bookmarkEnd w:id="306"/>
      <w:bookmarkEnd w:id="307"/>
      <w:bookmarkEnd w:id="308"/>
      <w:r>
        <w:rPr>
          <w:rFonts w:ascii="Times New Roman" w:hAnsi="Times New Roman"/>
          <w:b/>
          <w:bCs/>
          <w:color w:val="000000" w:themeColor="text1"/>
          <w:sz w:val="28"/>
          <w:szCs w:val="36"/>
          <w14:textFill>
            <w14:solidFill>
              <w14:schemeClr w14:val="tx1"/>
            </w14:solidFill>
          </w14:textFill>
        </w:rPr>
        <w:t>、自媒体</w:t>
      </w:r>
      <w:bookmarkEnd w:id="309"/>
      <w:bookmarkEnd w:id="310"/>
      <w:bookmarkEnd w:id="311"/>
      <w:bookmarkEnd w:id="312"/>
    </w:p>
    <w:p w14:paraId="6E6AF4BC">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将互联网房源信息</w:t>
      </w:r>
      <w:r>
        <w:rPr>
          <w:rFonts w:hint="eastAsia" w:ascii="Times New Roman" w:hAnsi="Times New Roman" w:eastAsia="仿宋_GB2312"/>
          <w:color w:val="000000" w:themeColor="text1"/>
          <w:kern w:val="0"/>
          <w:sz w:val="32"/>
          <w:szCs w:val="32"/>
          <w14:textFill>
            <w14:solidFill>
              <w14:schemeClr w14:val="tx1"/>
            </w14:solidFill>
          </w14:textFill>
        </w:rPr>
        <w:t>发布</w:t>
      </w:r>
      <w:r>
        <w:rPr>
          <w:rFonts w:ascii="Times New Roman" w:hAnsi="Times New Roman" w:eastAsia="仿宋_GB2312"/>
          <w:color w:val="000000" w:themeColor="text1"/>
          <w:kern w:val="0"/>
          <w:sz w:val="32"/>
          <w:szCs w:val="32"/>
          <w:lang w:val="zh-TW"/>
          <w14:textFill>
            <w14:solidFill>
              <w14:schemeClr w14:val="tx1"/>
            </w14:solidFill>
          </w14:textFill>
        </w:rPr>
        <w:t>平台、自媒体作为投诉对象的案件有161宗，其中贝壳找房146宗、安居客10宗、幸福里3宗、房车宝1宗、家天下1宗。产生该类投诉的主要原因是消费者通过平台获取房源信息，而具体的交易服务由进驻平台的中介机构提供，消费者对平台的认知及认可度要高于为其提供交易服务的具体中介机构或从业人员，故在投诉时直接将平台作为投诉对象。</w:t>
      </w:r>
    </w:p>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14:paraId="61B7FCA7">
      <w:pPr>
        <w:numPr>
          <w:ilvl w:val="255"/>
          <w:numId w:val="0"/>
        </w:numPr>
        <w:spacing w:before="120" w:beforeLines="50" w:after="120" w:afterLines="50" w:line="360" w:lineRule="auto"/>
        <w:ind w:firstLine="562" w:firstLineChars="200"/>
        <w:jc w:val="left"/>
        <w:outlineLvl w:val="1"/>
        <w:rPr>
          <w:rFonts w:ascii="Times New Roman" w:hAnsi="Times New Roman"/>
          <w:b/>
          <w:bCs/>
          <w:color w:val="000000" w:themeColor="text1"/>
          <w:sz w:val="28"/>
          <w:szCs w:val="36"/>
          <w14:textFill>
            <w14:solidFill>
              <w14:schemeClr w14:val="tx1"/>
            </w14:solidFill>
          </w14:textFill>
        </w:rPr>
      </w:pPr>
      <w:bookmarkStart w:id="342" w:name="_Toc192845462"/>
      <w:bookmarkStart w:id="343" w:name="_Toc129769287"/>
      <w:bookmarkStart w:id="344" w:name="_Toc160185287"/>
      <w:bookmarkStart w:id="345" w:name="_Toc159513638"/>
      <w:bookmarkStart w:id="346" w:name="_Toc129785109"/>
      <w:bookmarkStart w:id="347" w:name="_Toc191915782"/>
      <w:r>
        <w:rPr>
          <w:rFonts w:ascii="Times New Roman" w:hAnsi="Times New Roman"/>
          <w:b/>
          <w:bCs/>
          <w:color w:val="000000" w:themeColor="text1"/>
          <w:sz w:val="28"/>
          <w:szCs w:val="36"/>
          <w14:textFill>
            <w14:solidFill>
              <w14:schemeClr w14:val="tx1"/>
            </w14:solidFill>
          </w14:textFill>
        </w:rPr>
        <w:t>3</w:t>
      </w:r>
      <w:r>
        <w:rPr>
          <w:rFonts w:hint="eastAsia" w:ascii="Times New Roman" w:hAnsi="Times New Roman"/>
          <w:b/>
          <w:bCs/>
          <w:color w:val="000000" w:themeColor="text1"/>
          <w:sz w:val="28"/>
          <w:szCs w:val="36"/>
          <w14:textFill>
            <w14:solidFill>
              <w14:schemeClr w14:val="tx1"/>
            </w14:solidFill>
          </w14:textFill>
        </w:rPr>
        <w:t>.</w:t>
      </w:r>
      <w:r>
        <w:rPr>
          <w:rFonts w:ascii="Times New Roman" w:hAnsi="Times New Roman"/>
          <w:b/>
          <w:bCs/>
          <w:color w:val="000000" w:themeColor="text1"/>
          <w:sz w:val="28"/>
          <w:szCs w:val="36"/>
          <w14:textFill>
            <w14:solidFill>
              <w14:schemeClr w14:val="tx1"/>
            </w14:solidFill>
          </w14:textFill>
        </w:rPr>
        <w:t>其他</w:t>
      </w:r>
      <w:bookmarkEnd w:id="342"/>
      <w:bookmarkEnd w:id="343"/>
      <w:bookmarkEnd w:id="344"/>
      <w:bookmarkEnd w:id="345"/>
      <w:bookmarkEnd w:id="346"/>
      <w:bookmarkEnd w:id="347"/>
    </w:p>
    <w:p w14:paraId="5824BF7A">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有150宗投诉案件未指明具体的中介机构或服务品牌，出现这种情况的原因有两种，一是由于消费者匿名方式投诉未指明具体中介机构或从业人员，工作人员无法通过回访消费者确认投诉对象，二是在工作人员回访消费者了解具体情况时，消费者表示不清楚为其提供中介服务的</w:t>
      </w:r>
      <w:r>
        <w:rPr>
          <w:rFonts w:hint="eastAsia" w:ascii="Times New Roman" w:hAnsi="Times New Roman" w:eastAsia="仿宋_GB2312"/>
          <w:color w:val="000000" w:themeColor="text1"/>
          <w:kern w:val="0"/>
          <w:sz w:val="32"/>
          <w:szCs w:val="32"/>
          <w14:textFill>
            <w14:solidFill>
              <w14:schemeClr w14:val="tx1"/>
            </w14:solidFill>
          </w14:textFill>
        </w:rPr>
        <w:t>中介</w:t>
      </w:r>
      <w:r>
        <w:rPr>
          <w:rFonts w:ascii="Times New Roman" w:hAnsi="Times New Roman" w:eastAsia="仿宋_GB2312"/>
          <w:color w:val="000000" w:themeColor="text1"/>
          <w:kern w:val="0"/>
          <w:sz w:val="32"/>
          <w:szCs w:val="32"/>
          <w:lang w:val="zh-TW"/>
          <w14:textFill>
            <w14:solidFill>
              <w14:schemeClr w14:val="tx1"/>
            </w14:solidFill>
          </w14:textFill>
        </w:rPr>
        <w:t>机构（或从业人员）的具体名称，或不愿意</w:t>
      </w:r>
      <w:r>
        <w:rPr>
          <w:rFonts w:hint="eastAsia" w:ascii="Times New Roman" w:hAnsi="Times New Roman" w:eastAsia="仿宋_GB2312"/>
          <w:color w:val="000000" w:themeColor="text1"/>
          <w:kern w:val="0"/>
          <w:sz w:val="32"/>
          <w:szCs w:val="32"/>
          <w:lang w:val="zh-TW"/>
          <w14:textFill>
            <w14:solidFill>
              <w14:schemeClr w14:val="tx1"/>
            </w14:solidFill>
          </w14:textFill>
        </w:rPr>
        <w:t>指明</w:t>
      </w:r>
      <w:r>
        <w:rPr>
          <w:rFonts w:ascii="Times New Roman" w:hAnsi="Times New Roman" w:eastAsia="仿宋_GB2312"/>
          <w:color w:val="000000" w:themeColor="text1"/>
          <w:kern w:val="0"/>
          <w:sz w:val="32"/>
          <w:szCs w:val="32"/>
          <w:lang w:val="zh-TW"/>
          <w14:textFill>
            <w14:solidFill>
              <w14:schemeClr w14:val="tx1"/>
            </w14:solidFill>
          </w14:textFill>
        </w:rPr>
        <w:t>具体的投诉对象。</w:t>
      </w:r>
    </w:p>
    <w:p w14:paraId="1AF95EDB">
      <w:pPr>
        <w:pStyle w:val="3"/>
        <w:numPr>
          <w:ilvl w:val="255"/>
          <w:numId w:val="0"/>
        </w:numPr>
        <w:spacing w:before="240" w:after="0" w:line="360" w:lineRule="auto"/>
        <w:ind w:firstLine="562" w:firstLineChars="200"/>
        <w:jc w:val="left"/>
        <w:rPr>
          <w:rFonts w:ascii="Times New Roman" w:hAnsi="Times New Roman" w:eastAsia="黑体" w:cs="Times New Roman"/>
          <w:bCs w:val="0"/>
          <w:color w:val="000000" w:themeColor="text1"/>
          <w:sz w:val="28"/>
          <w:szCs w:val="28"/>
          <w14:textFill>
            <w14:solidFill>
              <w14:schemeClr w14:val="tx1"/>
            </w14:solidFill>
          </w14:textFill>
        </w:rPr>
      </w:pPr>
      <w:bookmarkStart w:id="348" w:name="_Toc192845463"/>
      <w:r>
        <w:rPr>
          <w:rFonts w:ascii="Times New Roman" w:hAnsi="Times New Roman" w:eastAsia="黑体" w:cs="Times New Roman"/>
          <w:bCs w:val="0"/>
          <w:color w:val="000000" w:themeColor="text1"/>
          <w:sz w:val="28"/>
          <w:szCs w:val="28"/>
          <w14:textFill>
            <w14:solidFill>
              <w14:schemeClr w14:val="tx1"/>
            </w14:solidFill>
          </w14:textFill>
        </w:rPr>
        <w:t>（三）区域分布</w:t>
      </w:r>
      <w:bookmarkEnd w:id="348"/>
    </w:p>
    <w:p w14:paraId="0C75F3C1">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投诉案件</w:t>
      </w:r>
      <w:r>
        <w:rPr>
          <w:rFonts w:ascii="Times New Roman" w:hAnsi="Times New Roman" w:eastAsia="仿宋_GB2312"/>
          <w:color w:val="000000" w:themeColor="text1"/>
          <w:kern w:val="0"/>
          <w:sz w:val="32"/>
          <w:szCs w:val="32"/>
          <w14:textFill>
            <w14:solidFill>
              <w14:schemeClr w14:val="tx1"/>
            </w14:solidFill>
          </w14:textFill>
        </w:rPr>
        <w:t>的区域分布来看</w:t>
      </w:r>
      <w:r>
        <w:rPr>
          <w:rFonts w:ascii="Times New Roman" w:hAnsi="Times New Roman" w:eastAsia="仿宋_GB2312"/>
          <w:color w:val="000000" w:themeColor="text1"/>
          <w:kern w:val="0"/>
          <w:sz w:val="32"/>
          <w:szCs w:val="32"/>
          <w:lang w:val="zh-TW"/>
          <w14:textFill>
            <w14:solidFill>
              <w14:schemeClr w14:val="tx1"/>
            </w14:solidFill>
          </w14:textFill>
        </w:rPr>
        <w:t>，投诉案件量在全市排名前三的行政区分别</w:t>
      </w:r>
      <w:r>
        <w:rPr>
          <w:rFonts w:hint="eastAsia" w:ascii="Times New Roman" w:hAnsi="Times New Roman" w:eastAsia="仿宋_GB2312"/>
          <w:color w:val="000000" w:themeColor="text1"/>
          <w:kern w:val="0"/>
          <w:sz w:val="32"/>
          <w:szCs w:val="32"/>
          <w14:textFill>
            <w14:solidFill>
              <w14:schemeClr w14:val="tx1"/>
            </w14:solidFill>
          </w14:textFill>
        </w:rPr>
        <w:t>是：</w:t>
      </w:r>
      <w:r>
        <w:rPr>
          <w:rFonts w:ascii="Times New Roman" w:hAnsi="Times New Roman" w:eastAsia="仿宋_GB2312"/>
          <w:color w:val="000000" w:themeColor="text1"/>
          <w:kern w:val="0"/>
          <w:sz w:val="32"/>
          <w:szCs w:val="32"/>
          <w:lang w:val="zh-TW"/>
          <w14:textFill>
            <w14:solidFill>
              <w14:schemeClr w14:val="tx1"/>
            </w14:solidFill>
          </w14:textFill>
        </w:rPr>
        <w:t>增城区218宗，占20%；越秀区138宗，占12.7%；番禺区134宗，占12.3%（见表1</w:t>
      </w:r>
      <w:r>
        <w:rPr>
          <w:rFonts w:hint="eastAsia" w:ascii="Times New Roman" w:hAnsi="Times New Roman" w:eastAsia="仿宋_GB2312"/>
          <w:color w:val="000000" w:themeColor="text1"/>
          <w:kern w:val="0"/>
          <w:sz w:val="32"/>
          <w:szCs w:val="32"/>
          <w14:textFill>
            <w14:solidFill>
              <w14:schemeClr w14:val="tx1"/>
            </w14:solidFill>
          </w14:textFill>
        </w:rPr>
        <w:t>6</w:t>
      </w:r>
      <w:r>
        <w:rPr>
          <w:rFonts w:ascii="Times New Roman" w:hAnsi="Times New Roman" w:eastAsia="仿宋_GB2312"/>
          <w:color w:val="000000" w:themeColor="text1"/>
          <w:kern w:val="0"/>
          <w:sz w:val="32"/>
          <w:szCs w:val="32"/>
          <w:lang w:val="zh-TW"/>
          <w14:textFill>
            <w14:solidFill>
              <w14:schemeClr w14:val="tx1"/>
            </w14:solidFill>
          </w14:textFill>
        </w:rPr>
        <w:t>）。</w:t>
      </w:r>
    </w:p>
    <w:p w14:paraId="748553B9">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74569B0F">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572DA345">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p>
    <w:p w14:paraId="376679DB">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表1</w:t>
      </w:r>
      <w:r>
        <w:rPr>
          <w:rFonts w:hint="eastAsia" w:ascii="Times New Roman" w:hAnsi="Times New Roman"/>
          <w:color w:val="000000" w:themeColor="text1"/>
          <w:sz w:val="24"/>
          <w14:textFill>
            <w14:solidFill>
              <w14:schemeClr w14:val="tx1"/>
            </w14:solidFill>
          </w14:textFill>
        </w:rPr>
        <w:t>6</w:t>
      </w:r>
      <w:r>
        <w:rPr>
          <w:rFonts w:ascii="Times New Roman" w:hAnsi="Times New Roman"/>
          <w:color w:val="000000" w:themeColor="text1"/>
          <w:sz w:val="24"/>
          <w14:textFill>
            <w14:solidFill>
              <w14:schemeClr w14:val="tx1"/>
            </w14:solidFill>
          </w14:textFill>
        </w:rPr>
        <w:t xml:space="preserve"> </w:t>
      </w:r>
      <w:r>
        <w:rPr>
          <w:rFonts w:hint="eastAsia" w:ascii="Times New Roman" w:hAnsi="Times New Roman"/>
          <w:color w:val="000000" w:themeColor="text1"/>
          <w:sz w:val="24"/>
          <w14:textFill>
            <w14:solidFill>
              <w14:schemeClr w14:val="tx1"/>
            </w14:solidFill>
          </w14:textFill>
        </w:rPr>
        <w:t>全市</w:t>
      </w:r>
      <w:r>
        <w:rPr>
          <w:rFonts w:ascii="Times New Roman" w:hAnsi="Times New Roman"/>
          <w:color w:val="000000" w:themeColor="text1"/>
          <w:sz w:val="24"/>
          <w14:textFill>
            <w14:solidFill>
              <w14:schemeClr w14:val="tx1"/>
            </w14:solidFill>
          </w14:textFill>
        </w:rPr>
        <w:t>房地产中介交易纠纷案件情况</w:t>
      </w:r>
    </w:p>
    <w:tbl>
      <w:tblPr>
        <w:tblStyle w:val="19"/>
        <w:tblW w:w="50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6"/>
        <w:gridCol w:w="1036"/>
        <w:gridCol w:w="1136"/>
        <w:gridCol w:w="1134"/>
        <w:gridCol w:w="1274"/>
        <w:gridCol w:w="1132"/>
        <w:gridCol w:w="1136"/>
        <w:gridCol w:w="1206"/>
      </w:tblGrid>
      <w:tr w14:paraId="3511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632" w:type="pct"/>
            <w:vMerge w:val="restart"/>
            <w:vAlign w:val="center"/>
          </w:tcPr>
          <w:p w14:paraId="15AB4E27">
            <w:pPr>
              <w:widowControl/>
              <w:jc w:val="center"/>
              <w:textAlignment w:val="center"/>
              <w:rPr>
                <w:rFonts w:ascii="Times New Roman" w:hAnsi="Times New Roman" w:eastAsia="仿宋"/>
                <w:b/>
                <w:bCs/>
                <w:color w:val="000000" w:themeColor="text1"/>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行政区</w:t>
            </w:r>
            <w:r>
              <w:rPr>
                <w:rFonts w:hint="eastAsia" w:ascii="Times New Roman" w:hAnsi="Times New Roman" w:eastAsia="仿宋"/>
                <w:b/>
                <w:bCs/>
                <w:color w:val="000000" w:themeColor="text1"/>
                <w:kern w:val="0"/>
                <w:sz w:val="24"/>
                <w:szCs w:val="24"/>
                <w14:textFill>
                  <w14:solidFill>
                    <w14:schemeClr w14:val="tx1"/>
                  </w14:solidFill>
                </w14:textFill>
              </w:rPr>
              <w:t>/单位</w:t>
            </w:r>
          </w:p>
        </w:tc>
        <w:tc>
          <w:tcPr>
            <w:tcW w:w="1793" w:type="pct"/>
            <w:gridSpan w:val="3"/>
            <w:vAlign w:val="center"/>
          </w:tcPr>
          <w:p w14:paraId="169CE757">
            <w:pPr>
              <w:widowControl/>
              <w:jc w:val="center"/>
              <w:textAlignment w:val="center"/>
              <w:rPr>
                <w:rFonts w:ascii="Times New Roman" w:hAnsi="Times New Roman" w:eastAsia="仿宋"/>
                <w:b/>
                <w:bCs/>
                <w:color w:val="000000" w:themeColor="text1"/>
                <w:sz w:val="24"/>
                <w:szCs w:val="24"/>
                <w14:textFill>
                  <w14:solidFill>
                    <w14:schemeClr w14:val="tx1"/>
                  </w14:solidFill>
                </w14:textFill>
              </w:rPr>
            </w:pPr>
            <w:r>
              <w:rPr>
                <w:rFonts w:ascii="Times New Roman" w:hAnsi="Times New Roman" w:eastAsia="仿宋"/>
                <w:b/>
                <w:bCs/>
                <w:color w:val="000000" w:themeColor="text1"/>
                <w:sz w:val="24"/>
                <w:szCs w:val="24"/>
                <w14:textFill>
                  <w14:solidFill>
                    <w14:schemeClr w14:val="tx1"/>
                  </w14:solidFill>
                </w14:textFill>
              </w:rPr>
              <w:t>交易类案件</w:t>
            </w:r>
            <w:r>
              <w:rPr>
                <w:rFonts w:ascii="Times New Roman" w:hAnsi="Times New Roman" w:eastAsia="仿宋"/>
                <w:b/>
                <w:bCs/>
                <w:color w:val="000000" w:themeColor="text1"/>
                <w:kern w:val="0"/>
                <w:sz w:val="24"/>
                <w:szCs w:val="24"/>
                <w14:textFill>
                  <w14:solidFill>
                    <w14:schemeClr w14:val="tx1"/>
                  </w14:solidFill>
                </w14:textFill>
              </w:rPr>
              <w:t>（宗）</w:t>
            </w:r>
          </w:p>
        </w:tc>
        <w:tc>
          <w:tcPr>
            <w:tcW w:w="691" w:type="pct"/>
            <w:vMerge w:val="restart"/>
            <w:vAlign w:val="center"/>
          </w:tcPr>
          <w:p w14:paraId="08E016C1">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非交易类</w:t>
            </w:r>
          </w:p>
          <w:p w14:paraId="4EA7FF2E">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案件</w:t>
            </w:r>
          </w:p>
          <w:p w14:paraId="60D43A27">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（宗）</w:t>
            </w:r>
          </w:p>
        </w:tc>
        <w:tc>
          <w:tcPr>
            <w:tcW w:w="614" w:type="pct"/>
            <w:vMerge w:val="restart"/>
            <w:noWrap/>
            <w:vAlign w:val="center"/>
          </w:tcPr>
          <w:p w14:paraId="5722CB27">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合计</w:t>
            </w:r>
          </w:p>
          <w:p w14:paraId="3E2CB5C9">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（宗）</w:t>
            </w:r>
          </w:p>
        </w:tc>
        <w:tc>
          <w:tcPr>
            <w:tcW w:w="616" w:type="pct"/>
            <w:vMerge w:val="restart"/>
            <w:noWrap/>
            <w:vAlign w:val="center"/>
          </w:tcPr>
          <w:p w14:paraId="44EF9ED1">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占比</w:t>
            </w:r>
          </w:p>
        </w:tc>
        <w:tc>
          <w:tcPr>
            <w:tcW w:w="655" w:type="pct"/>
            <w:vMerge w:val="restart"/>
            <w:noWrap/>
            <w:vAlign w:val="center"/>
          </w:tcPr>
          <w:p w14:paraId="32EA1521">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同比</w:t>
            </w:r>
          </w:p>
        </w:tc>
      </w:tr>
      <w:tr w14:paraId="645D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632" w:type="pct"/>
            <w:vMerge w:val="continue"/>
            <w:vAlign w:val="center"/>
          </w:tcPr>
          <w:p w14:paraId="4A08222F">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p>
        </w:tc>
        <w:tc>
          <w:tcPr>
            <w:tcW w:w="562" w:type="pct"/>
            <w:vAlign w:val="center"/>
          </w:tcPr>
          <w:p w14:paraId="45868D29">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一手房</w:t>
            </w:r>
          </w:p>
          <w:p w14:paraId="738A2F5C">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交易</w:t>
            </w:r>
          </w:p>
        </w:tc>
        <w:tc>
          <w:tcPr>
            <w:tcW w:w="616" w:type="pct"/>
            <w:vAlign w:val="center"/>
          </w:tcPr>
          <w:p w14:paraId="73D9C97B">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二手房</w:t>
            </w:r>
          </w:p>
          <w:p w14:paraId="09AE1BDC">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交易</w:t>
            </w:r>
          </w:p>
        </w:tc>
        <w:tc>
          <w:tcPr>
            <w:tcW w:w="615" w:type="pct"/>
            <w:vAlign w:val="center"/>
          </w:tcPr>
          <w:p w14:paraId="78057010">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房屋</w:t>
            </w:r>
          </w:p>
          <w:p w14:paraId="155D086C">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14:textFill>
                  <w14:solidFill>
                    <w14:schemeClr w14:val="tx1"/>
                  </w14:solidFill>
                </w14:textFill>
              </w:rPr>
              <w:t>租赁</w:t>
            </w:r>
          </w:p>
        </w:tc>
        <w:tc>
          <w:tcPr>
            <w:tcW w:w="691" w:type="pct"/>
            <w:vMerge w:val="continue"/>
          </w:tcPr>
          <w:p w14:paraId="4077F5C4">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p>
        </w:tc>
        <w:tc>
          <w:tcPr>
            <w:tcW w:w="614" w:type="pct"/>
            <w:vMerge w:val="continue"/>
            <w:noWrap/>
            <w:vAlign w:val="center"/>
          </w:tcPr>
          <w:p w14:paraId="77EAF1CE">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p>
        </w:tc>
        <w:tc>
          <w:tcPr>
            <w:tcW w:w="616" w:type="pct"/>
            <w:vMerge w:val="continue"/>
            <w:noWrap/>
            <w:vAlign w:val="center"/>
          </w:tcPr>
          <w:p w14:paraId="14334D8F">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p>
        </w:tc>
        <w:tc>
          <w:tcPr>
            <w:tcW w:w="655" w:type="pct"/>
            <w:vMerge w:val="continue"/>
            <w:noWrap/>
            <w:vAlign w:val="center"/>
          </w:tcPr>
          <w:p w14:paraId="4C9A648D">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p>
        </w:tc>
      </w:tr>
      <w:tr w14:paraId="67B2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jc w:val="center"/>
        </w:trPr>
        <w:tc>
          <w:tcPr>
            <w:tcW w:w="632" w:type="pct"/>
            <w:vAlign w:val="center"/>
          </w:tcPr>
          <w:p w14:paraId="3E05A9F1">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增城区</w:t>
            </w:r>
          </w:p>
        </w:tc>
        <w:tc>
          <w:tcPr>
            <w:tcW w:w="562" w:type="pct"/>
            <w:noWrap/>
            <w:vAlign w:val="center"/>
          </w:tcPr>
          <w:p w14:paraId="45DA764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75</w:t>
            </w:r>
          </w:p>
        </w:tc>
        <w:tc>
          <w:tcPr>
            <w:tcW w:w="616" w:type="pct"/>
            <w:noWrap/>
            <w:vAlign w:val="center"/>
          </w:tcPr>
          <w:p w14:paraId="144EDD43">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50</w:t>
            </w:r>
          </w:p>
        </w:tc>
        <w:tc>
          <w:tcPr>
            <w:tcW w:w="615" w:type="pct"/>
            <w:noWrap/>
            <w:vAlign w:val="center"/>
          </w:tcPr>
          <w:p w14:paraId="1260124A">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25</w:t>
            </w:r>
          </w:p>
        </w:tc>
        <w:tc>
          <w:tcPr>
            <w:tcW w:w="691" w:type="pct"/>
            <w:vAlign w:val="center"/>
          </w:tcPr>
          <w:p w14:paraId="39A27DE6">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68</w:t>
            </w:r>
          </w:p>
        </w:tc>
        <w:tc>
          <w:tcPr>
            <w:tcW w:w="614" w:type="pct"/>
            <w:noWrap/>
            <w:vAlign w:val="center"/>
          </w:tcPr>
          <w:p w14:paraId="0A39D715">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218</w:t>
            </w:r>
          </w:p>
        </w:tc>
        <w:tc>
          <w:tcPr>
            <w:tcW w:w="616" w:type="pct"/>
            <w:noWrap/>
            <w:vAlign w:val="center"/>
          </w:tcPr>
          <w:p w14:paraId="21D2D0B6">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20.0%</w:t>
            </w:r>
          </w:p>
        </w:tc>
        <w:tc>
          <w:tcPr>
            <w:tcW w:w="655" w:type="pct"/>
            <w:noWrap/>
            <w:vAlign w:val="center"/>
          </w:tcPr>
          <w:p w14:paraId="1184A78C">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-4.0%</w:t>
            </w:r>
          </w:p>
        </w:tc>
      </w:tr>
      <w:tr w14:paraId="17C1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3CDD03DD">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越秀区</w:t>
            </w:r>
          </w:p>
        </w:tc>
        <w:tc>
          <w:tcPr>
            <w:tcW w:w="562" w:type="pct"/>
            <w:noWrap/>
            <w:vAlign w:val="center"/>
          </w:tcPr>
          <w:p w14:paraId="5481A8E2">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w:t>
            </w:r>
          </w:p>
        </w:tc>
        <w:tc>
          <w:tcPr>
            <w:tcW w:w="616" w:type="pct"/>
            <w:noWrap/>
            <w:vAlign w:val="center"/>
          </w:tcPr>
          <w:p w14:paraId="0056864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55</w:t>
            </w:r>
          </w:p>
        </w:tc>
        <w:tc>
          <w:tcPr>
            <w:tcW w:w="615" w:type="pct"/>
            <w:noWrap/>
            <w:vAlign w:val="center"/>
          </w:tcPr>
          <w:p w14:paraId="42C2D047">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47</w:t>
            </w:r>
          </w:p>
        </w:tc>
        <w:tc>
          <w:tcPr>
            <w:tcW w:w="691" w:type="pct"/>
            <w:vAlign w:val="center"/>
          </w:tcPr>
          <w:p w14:paraId="6BDF13FD">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28</w:t>
            </w:r>
          </w:p>
        </w:tc>
        <w:tc>
          <w:tcPr>
            <w:tcW w:w="614" w:type="pct"/>
            <w:noWrap/>
            <w:vAlign w:val="center"/>
          </w:tcPr>
          <w:p w14:paraId="61E3B44B">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138</w:t>
            </w:r>
          </w:p>
        </w:tc>
        <w:tc>
          <w:tcPr>
            <w:tcW w:w="616" w:type="pct"/>
            <w:noWrap/>
            <w:vAlign w:val="center"/>
          </w:tcPr>
          <w:p w14:paraId="66BA49C8">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12.7%</w:t>
            </w:r>
          </w:p>
        </w:tc>
        <w:tc>
          <w:tcPr>
            <w:tcW w:w="655" w:type="pct"/>
            <w:noWrap/>
            <w:vAlign w:val="center"/>
          </w:tcPr>
          <w:p w14:paraId="732F6549">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24.3%</w:t>
            </w:r>
          </w:p>
        </w:tc>
      </w:tr>
      <w:tr w14:paraId="51A6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6CEB71EB">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番禺区</w:t>
            </w:r>
          </w:p>
        </w:tc>
        <w:tc>
          <w:tcPr>
            <w:tcW w:w="562" w:type="pct"/>
            <w:noWrap/>
            <w:vAlign w:val="center"/>
          </w:tcPr>
          <w:p w14:paraId="6A1F1BA3">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24</w:t>
            </w:r>
          </w:p>
        </w:tc>
        <w:tc>
          <w:tcPr>
            <w:tcW w:w="616" w:type="pct"/>
            <w:noWrap/>
            <w:vAlign w:val="center"/>
          </w:tcPr>
          <w:p w14:paraId="70491C48">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65</w:t>
            </w:r>
          </w:p>
        </w:tc>
        <w:tc>
          <w:tcPr>
            <w:tcW w:w="615" w:type="pct"/>
            <w:noWrap/>
            <w:vAlign w:val="center"/>
          </w:tcPr>
          <w:p w14:paraId="130CB1FF">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21</w:t>
            </w:r>
          </w:p>
        </w:tc>
        <w:tc>
          <w:tcPr>
            <w:tcW w:w="691" w:type="pct"/>
            <w:vAlign w:val="center"/>
          </w:tcPr>
          <w:p w14:paraId="39FAF882">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24</w:t>
            </w:r>
          </w:p>
        </w:tc>
        <w:tc>
          <w:tcPr>
            <w:tcW w:w="614" w:type="pct"/>
            <w:noWrap/>
            <w:vAlign w:val="center"/>
          </w:tcPr>
          <w:p w14:paraId="35BC2036">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134</w:t>
            </w:r>
          </w:p>
        </w:tc>
        <w:tc>
          <w:tcPr>
            <w:tcW w:w="616" w:type="pct"/>
            <w:noWrap/>
            <w:vAlign w:val="center"/>
          </w:tcPr>
          <w:p w14:paraId="40D2E076">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12.3%</w:t>
            </w:r>
          </w:p>
        </w:tc>
        <w:tc>
          <w:tcPr>
            <w:tcW w:w="655" w:type="pct"/>
            <w:noWrap/>
            <w:vAlign w:val="center"/>
          </w:tcPr>
          <w:p w14:paraId="0C51BDA7">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13.6%</w:t>
            </w:r>
          </w:p>
        </w:tc>
      </w:tr>
      <w:tr w14:paraId="2484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66A1A769">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花都区</w:t>
            </w:r>
          </w:p>
        </w:tc>
        <w:tc>
          <w:tcPr>
            <w:tcW w:w="562" w:type="pct"/>
            <w:noWrap/>
            <w:vAlign w:val="center"/>
          </w:tcPr>
          <w:p w14:paraId="23A017C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10</w:t>
            </w:r>
          </w:p>
        </w:tc>
        <w:tc>
          <w:tcPr>
            <w:tcW w:w="616" w:type="pct"/>
            <w:noWrap/>
            <w:vAlign w:val="center"/>
          </w:tcPr>
          <w:p w14:paraId="78E248C6">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65</w:t>
            </w:r>
          </w:p>
        </w:tc>
        <w:tc>
          <w:tcPr>
            <w:tcW w:w="615" w:type="pct"/>
            <w:noWrap/>
            <w:vAlign w:val="center"/>
          </w:tcPr>
          <w:p w14:paraId="0ED561C3">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17</w:t>
            </w:r>
          </w:p>
        </w:tc>
        <w:tc>
          <w:tcPr>
            <w:tcW w:w="691" w:type="pct"/>
            <w:vAlign w:val="center"/>
          </w:tcPr>
          <w:p w14:paraId="0A1EA452">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16</w:t>
            </w:r>
          </w:p>
        </w:tc>
        <w:tc>
          <w:tcPr>
            <w:tcW w:w="614" w:type="pct"/>
            <w:noWrap/>
            <w:vAlign w:val="center"/>
          </w:tcPr>
          <w:p w14:paraId="3A3A067D">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108</w:t>
            </w:r>
          </w:p>
        </w:tc>
        <w:tc>
          <w:tcPr>
            <w:tcW w:w="616" w:type="pct"/>
            <w:noWrap/>
            <w:vAlign w:val="center"/>
          </w:tcPr>
          <w:p w14:paraId="0EC2CAC5">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9.9%</w:t>
            </w:r>
          </w:p>
        </w:tc>
        <w:tc>
          <w:tcPr>
            <w:tcW w:w="655" w:type="pct"/>
            <w:noWrap/>
            <w:vAlign w:val="center"/>
          </w:tcPr>
          <w:p w14:paraId="491B8B0A">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-16.3%</w:t>
            </w:r>
          </w:p>
        </w:tc>
      </w:tr>
      <w:tr w14:paraId="2865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3EA364AE">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海珠区</w:t>
            </w:r>
          </w:p>
        </w:tc>
        <w:tc>
          <w:tcPr>
            <w:tcW w:w="562" w:type="pct"/>
            <w:noWrap/>
            <w:vAlign w:val="center"/>
          </w:tcPr>
          <w:p w14:paraId="27A1E4B3">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7</w:t>
            </w:r>
          </w:p>
        </w:tc>
        <w:tc>
          <w:tcPr>
            <w:tcW w:w="616" w:type="pct"/>
            <w:noWrap/>
            <w:vAlign w:val="center"/>
          </w:tcPr>
          <w:p w14:paraId="2D078873">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46</w:t>
            </w:r>
          </w:p>
        </w:tc>
        <w:tc>
          <w:tcPr>
            <w:tcW w:w="615" w:type="pct"/>
            <w:noWrap/>
            <w:vAlign w:val="center"/>
          </w:tcPr>
          <w:p w14:paraId="3BD420FF">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37</w:t>
            </w:r>
          </w:p>
        </w:tc>
        <w:tc>
          <w:tcPr>
            <w:tcW w:w="691" w:type="pct"/>
            <w:vAlign w:val="center"/>
          </w:tcPr>
          <w:p w14:paraId="1CAB50DA">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13</w:t>
            </w:r>
          </w:p>
        </w:tc>
        <w:tc>
          <w:tcPr>
            <w:tcW w:w="614" w:type="pct"/>
            <w:noWrap/>
            <w:vAlign w:val="center"/>
          </w:tcPr>
          <w:p w14:paraId="38663F8F">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103</w:t>
            </w:r>
          </w:p>
        </w:tc>
        <w:tc>
          <w:tcPr>
            <w:tcW w:w="616" w:type="pct"/>
            <w:noWrap/>
            <w:vAlign w:val="center"/>
          </w:tcPr>
          <w:p w14:paraId="67495B8A">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9.5%</w:t>
            </w:r>
          </w:p>
        </w:tc>
        <w:tc>
          <w:tcPr>
            <w:tcW w:w="655" w:type="pct"/>
            <w:noWrap/>
            <w:vAlign w:val="center"/>
          </w:tcPr>
          <w:p w14:paraId="1EDF1C9F">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-7.2%</w:t>
            </w:r>
          </w:p>
        </w:tc>
      </w:tr>
      <w:tr w14:paraId="399D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3A027358">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黄埔区</w:t>
            </w:r>
          </w:p>
        </w:tc>
        <w:tc>
          <w:tcPr>
            <w:tcW w:w="562" w:type="pct"/>
            <w:noWrap/>
            <w:vAlign w:val="center"/>
          </w:tcPr>
          <w:p w14:paraId="1EB7BCD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25</w:t>
            </w:r>
          </w:p>
        </w:tc>
        <w:tc>
          <w:tcPr>
            <w:tcW w:w="616" w:type="pct"/>
            <w:noWrap/>
            <w:vAlign w:val="center"/>
          </w:tcPr>
          <w:p w14:paraId="0EC8D77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27</w:t>
            </w:r>
          </w:p>
        </w:tc>
        <w:tc>
          <w:tcPr>
            <w:tcW w:w="615" w:type="pct"/>
            <w:noWrap/>
            <w:vAlign w:val="center"/>
          </w:tcPr>
          <w:p w14:paraId="4B4A6165">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20</w:t>
            </w:r>
          </w:p>
        </w:tc>
        <w:tc>
          <w:tcPr>
            <w:tcW w:w="691" w:type="pct"/>
            <w:vAlign w:val="center"/>
          </w:tcPr>
          <w:p w14:paraId="16BDF167">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19</w:t>
            </w:r>
          </w:p>
        </w:tc>
        <w:tc>
          <w:tcPr>
            <w:tcW w:w="614" w:type="pct"/>
            <w:noWrap/>
            <w:vAlign w:val="center"/>
          </w:tcPr>
          <w:p w14:paraId="3AAF6335">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91</w:t>
            </w:r>
          </w:p>
        </w:tc>
        <w:tc>
          <w:tcPr>
            <w:tcW w:w="616" w:type="pct"/>
            <w:noWrap/>
            <w:vAlign w:val="center"/>
          </w:tcPr>
          <w:p w14:paraId="156EB625">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8.4%</w:t>
            </w:r>
          </w:p>
        </w:tc>
        <w:tc>
          <w:tcPr>
            <w:tcW w:w="655" w:type="pct"/>
            <w:noWrap/>
            <w:vAlign w:val="center"/>
          </w:tcPr>
          <w:p w14:paraId="044470EC">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15.2%</w:t>
            </w:r>
          </w:p>
        </w:tc>
      </w:tr>
      <w:tr w14:paraId="4373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0A0C66D1">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南沙区</w:t>
            </w:r>
          </w:p>
        </w:tc>
        <w:tc>
          <w:tcPr>
            <w:tcW w:w="562" w:type="pct"/>
            <w:noWrap/>
            <w:vAlign w:val="center"/>
          </w:tcPr>
          <w:p w14:paraId="43CA0610">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25</w:t>
            </w:r>
          </w:p>
        </w:tc>
        <w:tc>
          <w:tcPr>
            <w:tcW w:w="616" w:type="pct"/>
            <w:noWrap/>
            <w:vAlign w:val="center"/>
          </w:tcPr>
          <w:p w14:paraId="57E714F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32</w:t>
            </w:r>
          </w:p>
        </w:tc>
        <w:tc>
          <w:tcPr>
            <w:tcW w:w="615" w:type="pct"/>
            <w:noWrap/>
            <w:vAlign w:val="center"/>
          </w:tcPr>
          <w:p w14:paraId="192539B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w:t>
            </w:r>
          </w:p>
        </w:tc>
        <w:tc>
          <w:tcPr>
            <w:tcW w:w="691" w:type="pct"/>
            <w:vAlign w:val="center"/>
          </w:tcPr>
          <w:p w14:paraId="503EF2F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8</w:t>
            </w:r>
          </w:p>
        </w:tc>
        <w:tc>
          <w:tcPr>
            <w:tcW w:w="614" w:type="pct"/>
            <w:noWrap/>
            <w:vAlign w:val="center"/>
          </w:tcPr>
          <w:p w14:paraId="7D410188">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73</w:t>
            </w:r>
          </w:p>
        </w:tc>
        <w:tc>
          <w:tcPr>
            <w:tcW w:w="616" w:type="pct"/>
            <w:noWrap/>
            <w:vAlign w:val="center"/>
          </w:tcPr>
          <w:p w14:paraId="2A89A2CF">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6.7%</w:t>
            </w:r>
          </w:p>
        </w:tc>
        <w:tc>
          <w:tcPr>
            <w:tcW w:w="655" w:type="pct"/>
            <w:noWrap/>
            <w:vAlign w:val="center"/>
          </w:tcPr>
          <w:p w14:paraId="6C09F85B">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62.2%</w:t>
            </w:r>
          </w:p>
        </w:tc>
      </w:tr>
      <w:tr w14:paraId="3C03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70861A43">
            <w:pPr>
              <w:widowControl/>
              <w:jc w:val="center"/>
              <w:textAlignment w:val="center"/>
              <w:rPr>
                <w:rFonts w:ascii="Times New Roman" w:hAnsi="Times New Roman" w:eastAsia="仿宋"/>
                <w:kern w:val="0"/>
                <w:sz w:val="24"/>
                <w:szCs w:val="24"/>
              </w:rPr>
            </w:pPr>
            <w:r>
              <w:rPr>
                <w:rFonts w:hint="eastAsia" w:ascii="Times New Roman" w:hAnsi="Times New Roman" w:eastAsia="仿宋"/>
                <w:kern w:val="0"/>
                <w:sz w:val="24"/>
                <w:szCs w:val="24"/>
              </w:rPr>
              <w:t>市交监</w:t>
            </w:r>
          </w:p>
          <w:p w14:paraId="752691F6">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中心</w:t>
            </w:r>
          </w:p>
        </w:tc>
        <w:tc>
          <w:tcPr>
            <w:tcW w:w="562" w:type="pct"/>
            <w:noWrap/>
            <w:vAlign w:val="center"/>
          </w:tcPr>
          <w:p w14:paraId="51913E84">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23</w:t>
            </w:r>
          </w:p>
        </w:tc>
        <w:tc>
          <w:tcPr>
            <w:tcW w:w="616" w:type="pct"/>
            <w:noWrap/>
            <w:vAlign w:val="center"/>
          </w:tcPr>
          <w:p w14:paraId="20EE24D8">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14</w:t>
            </w:r>
          </w:p>
        </w:tc>
        <w:tc>
          <w:tcPr>
            <w:tcW w:w="615" w:type="pct"/>
            <w:noWrap/>
            <w:vAlign w:val="center"/>
          </w:tcPr>
          <w:p w14:paraId="42FE3767">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w:t>
            </w:r>
          </w:p>
        </w:tc>
        <w:tc>
          <w:tcPr>
            <w:tcW w:w="691" w:type="pct"/>
            <w:vAlign w:val="center"/>
          </w:tcPr>
          <w:p w14:paraId="16A891FF">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24</w:t>
            </w:r>
          </w:p>
        </w:tc>
        <w:tc>
          <w:tcPr>
            <w:tcW w:w="614" w:type="pct"/>
            <w:noWrap/>
            <w:vAlign w:val="center"/>
          </w:tcPr>
          <w:p w14:paraId="17054EB2">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65</w:t>
            </w:r>
          </w:p>
        </w:tc>
        <w:tc>
          <w:tcPr>
            <w:tcW w:w="616" w:type="pct"/>
            <w:noWrap/>
            <w:vAlign w:val="center"/>
          </w:tcPr>
          <w:p w14:paraId="2C8107DD">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6.0%</w:t>
            </w:r>
          </w:p>
        </w:tc>
        <w:tc>
          <w:tcPr>
            <w:tcW w:w="655" w:type="pct"/>
            <w:noWrap/>
            <w:vAlign w:val="center"/>
          </w:tcPr>
          <w:p w14:paraId="5BCBEB81">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44.4%</w:t>
            </w:r>
          </w:p>
        </w:tc>
      </w:tr>
      <w:tr w14:paraId="669E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56CCDE57">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荔湾区</w:t>
            </w:r>
          </w:p>
        </w:tc>
        <w:tc>
          <w:tcPr>
            <w:tcW w:w="562" w:type="pct"/>
            <w:noWrap/>
            <w:vAlign w:val="center"/>
          </w:tcPr>
          <w:p w14:paraId="75266C6D">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13</w:t>
            </w:r>
          </w:p>
        </w:tc>
        <w:tc>
          <w:tcPr>
            <w:tcW w:w="616" w:type="pct"/>
            <w:noWrap/>
            <w:vAlign w:val="center"/>
          </w:tcPr>
          <w:p w14:paraId="37F4D703">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39</w:t>
            </w:r>
          </w:p>
        </w:tc>
        <w:tc>
          <w:tcPr>
            <w:tcW w:w="615" w:type="pct"/>
            <w:noWrap/>
            <w:vAlign w:val="center"/>
          </w:tcPr>
          <w:p w14:paraId="72D91FC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691" w:type="pct"/>
            <w:vAlign w:val="center"/>
          </w:tcPr>
          <w:p w14:paraId="07999AE1">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w:t>
            </w:r>
          </w:p>
        </w:tc>
        <w:tc>
          <w:tcPr>
            <w:tcW w:w="614" w:type="pct"/>
            <w:noWrap/>
            <w:vAlign w:val="center"/>
          </w:tcPr>
          <w:p w14:paraId="489B29FF">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59</w:t>
            </w:r>
          </w:p>
        </w:tc>
        <w:tc>
          <w:tcPr>
            <w:tcW w:w="616" w:type="pct"/>
            <w:noWrap/>
            <w:vAlign w:val="center"/>
          </w:tcPr>
          <w:p w14:paraId="773AE7C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5.4%</w:t>
            </w:r>
          </w:p>
        </w:tc>
        <w:tc>
          <w:tcPr>
            <w:tcW w:w="655" w:type="pct"/>
            <w:noWrap/>
            <w:vAlign w:val="center"/>
          </w:tcPr>
          <w:p w14:paraId="394CFC17">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68.6%</w:t>
            </w:r>
          </w:p>
        </w:tc>
      </w:tr>
      <w:tr w14:paraId="1137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239CB03B">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白云区</w:t>
            </w:r>
          </w:p>
        </w:tc>
        <w:tc>
          <w:tcPr>
            <w:tcW w:w="562" w:type="pct"/>
            <w:noWrap/>
            <w:vAlign w:val="center"/>
          </w:tcPr>
          <w:p w14:paraId="2FCAEDA4">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616" w:type="pct"/>
            <w:noWrap/>
            <w:vAlign w:val="center"/>
          </w:tcPr>
          <w:p w14:paraId="7F2C3784">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25</w:t>
            </w:r>
          </w:p>
        </w:tc>
        <w:tc>
          <w:tcPr>
            <w:tcW w:w="615" w:type="pct"/>
            <w:noWrap/>
            <w:vAlign w:val="center"/>
          </w:tcPr>
          <w:p w14:paraId="2410711B">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w:t>
            </w:r>
          </w:p>
        </w:tc>
        <w:tc>
          <w:tcPr>
            <w:tcW w:w="691" w:type="pct"/>
            <w:vAlign w:val="center"/>
          </w:tcPr>
          <w:p w14:paraId="2E3641B8">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9</w:t>
            </w:r>
          </w:p>
        </w:tc>
        <w:tc>
          <w:tcPr>
            <w:tcW w:w="614" w:type="pct"/>
            <w:noWrap/>
            <w:vAlign w:val="center"/>
          </w:tcPr>
          <w:p w14:paraId="637B072A">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40</w:t>
            </w:r>
          </w:p>
        </w:tc>
        <w:tc>
          <w:tcPr>
            <w:tcW w:w="616" w:type="pct"/>
            <w:noWrap/>
            <w:vAlign w:val="center"/>
          </w:tcPr>
          <w:p w14:paraId="4D9999DE">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3.7%</w:t>
            </w:r>
          </w:p>
        </w:tc>
        <w:tc>
          <w:tcPr>
            <w:tcW w:w="655" w:type="pct"/>
            <w:noWrap/>
            <w:vAlign w:val="center"/>
          </w:tcPr>
          <w:p w14:paraId="2F6731A8">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-29.8%</w:t>
            </w:r>
          </w:p>
        </w:tc>
      </w:tr>
      <w:tr w14:paraId="36BA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2C613020">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从化区</w:t>
            </w:r>
          </w:p>
        </w:tc>
        <w:tc>
          <w:tcPr>
            <w:tcW w:w="562" w:type="pct"/>
            <w:noWrap/>
            <w:vAlign w:val="center"/>
          </w:tcPr>
          <w:p w14:paraId="2AB1943E">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10</w:t>
            </w:r>
          </w:p>
        </w:tc>
        <w:tc>
          <w:tcPr>
            <w:tcW w:w="616" w:type="pct"/>
            <w:noWrap/>
            <w:vAlign w:val="center"/>
          </w:tcPr>
          <w:p w14:paraId="3DA27DF5">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20</w:t>
            </w:r>
          </w:p>
        </w:tc>
        <w:tc>
          <w:tcPr>
            <w:tcW w:w="615" w:type="pct"/>
            <w:noWrap/>
            <w:vAlign w:val="center"/>
          </w:tcPr>
          <w:p w14:paraId="06FE3CE8">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w:t>
            </w:r>
          </w:p>
        </w:tc>
        <w:tc>
          <w:tcPr>
            <w:tcW w:w="691" w:type="pct"/>
            <w:vAlign w:val="center"/>
          </w:tcPr>
          <w:p w14:paraId="55835786">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4</w:t>
            </w:r>
          </w:p>
        </w:tc>
        <w:tc>
          <w:tcPr>
            <w:tcW w:w="614" w:type="pct"/>
            <w:noWrap/>
            <w:vAlign w:val="center"/>
          </w:tcPr>
          <w:p w14:paraId="3F201212">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35</w:t>
            </w:r>
          </w:p>
        </w:tc>
        <w:tc>
          <w:tcPr>
            <w:tcW w:w="616" w:type="pct"/>
            <w:noWrap/>
            <w:vAlign w:val="center"/>
          </w:tcPr>
          <w:p w14:paraId="2329003C">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3.2%</w:t>
            </w:r>
          </w:p>
        </w:tc>
        <w:tc>
          <w:tcPr>
            <w:tcW w:w="655" w:type="pct"/>
            <w:noWrap/>
            <w:vAlign w:val="center"/>
          </w:tcPr>
          <w:p w14:paraId="3AF1101D">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-2.8%</w:t>
            </w:r>
          </w:p>
        </w:tc>
      </w:tr>
      <w:tr w14:paraId="0999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632" w:type="pct"/>
            <w:vAlign w:val="center"/>
          </w:tcPr>
          <w:p w14:paraId="7356EA70">
            <w:pPr>
              <w:widowControl/>
              <w:jc w:val="center"/>
              <w:textAlignment w:val="center"/>
              <w:rPr>
                <w:rFonts w:ascii="Times New Roman" w:hAnsi="Times New Roman" w:eastAsia="仿宋"/>
                <w:kern w:val="0"/>
                <w:sz w:val="24"/>
                <w:szCs w:val="24"/>
              </w:rPr>
            </w:pPr>
            <w:r>
              <w:rPr>
                <w:rFonts w:ascii="Times New Roman" w:hAnsi="Times New Roman" w:eastAsia="仿宋"/>
                <w:kern w:val="0"/>
                <w:sz w:val="24"/>
                <w:szCs w:val="24"/>
              </w:rPr>
              <w:t>天河区</w:t>
            </w:r>
          </w:p>
        </w:tc>
        <w:tc>
          <w:tcPr>
            <w:tcW w:w="562" w:type="pct"/>
            <w:noWrap/>
            <w:vAlign w:val="center"/>
          </w:tcPr>
          <w:p w14:paraId="0225CFD0">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w:t>
            </w:r>
          </w:p>
        </w:tc>
        <w:tc>
          <w:tcPr>
            <w:tcW w:w="616" w:type="pct"/>
            <w:noWrap/>
            <w:vAlign w:val="center"/>
          </w:tcPr>
          <w:p w14:paraId="6DC54BA6">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11</w:t>
            </w:r>
          </w:p>
        </w:tc>
        <w:tc>
          <w:tcPr>
            <w:tcW w:w="615" w:type="pct"/>
            <w:noWrap/>
            <w:vAlign w:val="center"/>
          </w:tcPr>
          <w:p w14:paraId="560081AD">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w:t>
            </w:r>
          </w:p>
        </w:tc>
        <w:tc>
          <w:tcPr>
            <w:tcW w:w="691" w:type="pct"/>
            <w:vAlign w:val="center"/>
          </w:tcPr>
          <w:p w14:paraId="16FC9572">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5</w:t>
            </w:r>
          </w:p>
        </w:tc>
        <w:tc>
          <w:tcPr>
            <w:tcW w:w="614" w:type="pct"/>
            <w:noWrap/>
            <w:vAlign w:val="center"/>
          </w:tcPr>
          <w:p w14:paraId="382D9F66">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24</w:t>
            </w:r>
          </w:p>
        </w:tc>
        <w:tc>
          <w:tcPr>
            <w:tcW w:w="616" w:type="pct"/>
            <w:noWrap/>
            <w:vAlign w:val="center"/>
          </w:tcPr>
          <w:p w14:paraId="6D5DCF79">
            <w:pPr>
              <w:widowControl/>
              <w:jc w:val="center"/>
              <w:textAlignment w:val="center"/>
              <w:rPr>
                <w:rFonts w:ascii="Times New Roman" w:hAnsi="Times New Roman" w:eastAsia="仿宋"/>
                <w:color w:val="000000" w:themeColor="text1"/>
                <w:kern w:val="0"/>
                <w:sz w:val="24"/>
                <w:szCs w:val="24"/>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2.2%</w:t>
            </w:r>
          </w:p>
        </w:tc>
        <w:tc>
          <w:tcPr>
            <w:tcW w:w="655" w:type="pct"/>
            <w:noWrap/>
            <w:vAlign w:val="center"/>
          </w:tcPr>
          <w:p w14:paraId="7FDE08D1">
            <w:pPr>
              <w:widowControl/>
              <w:jc w:val="center"/>
              <w:textAlignment w:val="center"/>
              <w:rPr>
                <w:rFonts w:ascii="Times New Roman" w:hAnsi="Times New Roman" w:eastAsia="仿宋"/>
                <w:color w:val="000000" w:themeColor="text1"/>
                <w:kern w:val="0"/>
                <w:sz w:val="24"/>
                <w:szCs w:val="24"/>
                <w:lang w:bidi="ar"/>
                <w14:textFill>
                  <w14:solidFill>
                    <w14:schemeClr w14:val="tx1"/>
                  </w14:solidFill>
                </w14:textFill>
              </w:rPr>
            </w:pPr>
            <w:r>
              <w:rPr>
                <w:rFonts w:ascii="Times New Roman" w:hAnsi="Times New Roman" w:eastAsia="仿宋"/>
                <w:color w:val="000000" w:themeColor="text1"/>
                <w:kern w:val="0"/>
                <w:sz w:val="24"/>
                <w:szCs w:val="24"/>
                <w:lang w:bidi="ar"/>
                <w14:textFill>
                  <w14:solidFill>
                    <w14:schemeClr w14:val="tx1"/>
                  </w14:solidFill>
                </w14:textFill>
              </w:rPr>
              <w:t>-64.2%</w:t>
            </w:r>
          </w:p>
        </w:tc>
      </w:tr>
      <w:tr w14:paraId="7D79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632" w:type="pct"/>
            <w:noWrap/>
            <w:vAlign w:val="center"/>
          </w:tcPr>
          <w:p w14:paraId="02AC313B">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kern w:val="0"/>
                <w:sz w:val="24"/>
                <w:szCs w:val="24"/>
              </w:rPr>
              <w:t>合计</w:t>
            </w:r>
          </w:p>
        </w:tc>
        <w:tc>
          <w:tcPr>
            <w:tcW w:w="562" w:type="pct"/>
            <w:noWrap/>
            <w:vAlign w:val="center"/>
          </w:tcPr>
          <w:p w14:paraId="6EA40F07">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229</w:t>
            </w:r>
          </w:p>
        </w:tc>
        <w:tc>
          <w:tcPr>
            <w:tcW w:w="616" w:type="pct"/>
            <w:noWrap/>
            <w:vAlign w:val="center"/>
          </w:tcPr>
          <w:p w14:paraId="483697BA">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449</w:t>
            </w:r>
          </w:p>
        </w:tc>
        <w:tc>
          <w:tcPr>
            <w:tcW w:w="615" w:type="pct"/>
            <w:noWrap/>
            <w:vAlign w:val="center"/>
          </w:tcPr>
          <w:p w14:paraId="1B3CA1D5">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188</w:t>
            </w:r>
          </w:p>
        </w:tc>
        <w:tc>
          <w:tcPr>
            <w:tcW w:w="691" w:type="pct"/>
            <w:vAlign w:val="center"/>
          </w:tcPr>
          <w:p w14:paraId="59DAEB89">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222</w:t>
            </w:r>
          </w:p>
        </w:tc>
        <w:tc>
          <w:tcPr>
            <w:tcW w:w="614" w:type="pct"/>
            <w:noWrap/>
            <w:vAlign w:val="center"/>
          </w:tcPr>
          <w:p w14:paraId="2C1F4634">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1088</w:t>
            </w:r>
          </w:p>
        </w:tc>
        <w:tc>
          <w:tcPr>
            <w:tcW w:w="616" w:type="pct"/>
            <w:noWrap/>
            <w:vAlign w:val="center"/>
          </w:tcPr>
          <w:p w14:paraId="171C49BD">
            <w:pPr>
              <w:jc w:val="center"/>
              <w:rPr>
                <w:rFonts w:ascii="Times New Roman" w:hAnsi="Times New Roman" w:eastAsia="仿宋"/>
                <w:b/>
                <w:bCs/>
                <w:color w:val="000000" w:themeColor="text1"/>
                <w:kern w:val="0"/>
                <w:sz w:val="24"/>
                <w:szCs w:val="24"/>
                <w14:textFill>
                  <w14:solidFill>
                    <w14:schemeClr w14:val="tx1"/>
                  </w14:solidFill>
                </w14:textFill>
              </w:rPr>
            </w:pPr>
          </w:p>
        </w:tc>
        <w:tc>
          <w:tcPr>
            <w:tcW w:w="655" w:type="pct"/>
            <w:noWrap/>
            <w:vAlign w:val="center"/>
          </w:tcPr>
          <w:p w14:paraId="325FD5BF">
            <w:pPr>
              <w:widowControl/>
              <w:jc w:val="center"/>
              <w:textAlignment w:val="center"/>
              <w:rPr>
                <w:rFonts w:ascii="Times New Roman" w:hAnsi="Times New Roman" w:eastAsia="仿宋"/>
                <w:b/>
                <w:bCs/>
                <w:color w:val="000000" w:themeColor="text1"/>
                <w:kern w:val="0"/>
                <w:sz w:val="24"/>
                <w:szCs w:val="24"/>
                <w14:textFill>
                  <w14:solidFill>
                    <w14:schemeClr w14:val="tx1"/>
                  </w14:solidFill>
                </w14:textFill>
              </w:rPr>
            </w:pPr>
            <w:r>
              <w:rPr>
                <w:rFonts w:ascii="Times New Roman" w:hAnsi="Times New Roman" w:eastAsia="仿宋"/>
                <w:b/>
                <w:bCs/>
                <w:color w:val="000000" w:themeColor="text1"/>
                <w:kern w:val="0"/>
                <w:sz w:val="24"/>
                <w:szCs w:val="24"/>
                <w:lang w:bidi="ar"/>
                <w14:textFill>
                  <w14:solidFill>
                    <w14:schemeClr w14:val="tx1"/>
                  </w14:solidFill>
                </w14:textFill>
              </w:rPr>
              <w:t>2.6%</w:t>
            </w:r>
          </w:p>
        </w:tc>
      </w:tr>
    </w:tbl>
    <w:p w14:paraId="098D5AF7">
      <w:pPr>
        <w:jc w:val="right"/>
        <w:rPr>
          <w:rFonts w:ascii="Times New Roman" w:hAnsi="Times New Roman" w:eastAsiaTheme="minorEastAsia"/>
          <w:color w:val="000000" w:themeColor="text1"/>
          <w:szCs w:val="28"/>
          <w14:textFill>
            <w14:solidFill>
              <w14:schemeClr w14:val="tx1"/>
            </w14:solidFill>
          </w14:textFill>
        </w:rPr>
      </w:pPr>
      <w:r>
        <w:rPr>
          <w:rFonts w:ascii="Times New Roman" w:hAnsi="Times New Roman" w:eastAsiaTheme="minorEastAsia"/>
          <w:color w:val="000000" w:themeColor="text1"/>
          <w:szCs w:val="28"/>
          <w14:textFill>
            <w14:solidFill>
              <w14:schemeClr w14:val="tx1"/>
            </w14:solidFill>
          </w14:textFill>
        </w:rPr>
        <w:t>数据来源：广州市房屋交易监管中心</w:t>
      </w:r>
    </w:p>
    <w:p w14:paraId="1B828AAA">
      <w:pPr>
        <w:pStyle w:val="3"/>
        <w:numPr>
          <w:ilvl w:val="255"/>
          <w:numId w:val="0"/>
        </w:numPr>
        <w:spacing w:before="240" w:after="0" w:line="360" w:lineRule="auto"/>
        <w:ind w:firstLine="562" w:firstLineChars="200"/>
        <w:jc w:val="left"/>
        <w:rPr>
          <w:rFonts w:ascii="Times New Roman" w:hAnsi="Times New Roman" w:eastAsia="黑体" w:cs="Times New Roman"/>
          <w:bCs w:val="0"/>
          <w:color w:val="000000" w:themeColor="text1"/>
          <w:sz w:val="28"/>
          <w:szCs w:val="28"/>
          <w14:textFill>
            <w14:solidFill>
              <w14:schemeClr w14:val="tx1"/>
            </w14:solidFill>
          </w14:textFill>
        </w:rPr>
      </w:pPr>
      <w:bookmarkStart w:id="349" w:name="_Toc192845464"/>
      <w:r>
        <w:rPr>
          <w:rFonts w:ascii="Times New Roman" w:hAnsi="Times New Roman" w:eastAsia="黑体" w:cs="Times New Roman"/>
          <w:bCs w:val="0"/>
          <w:color w:val="000000" w:themeColor="text1"/>
          <w:sz w:val="28"/>
          <w:szCs w:val="28"/>
          <w14:textFill>
            <w14:solidFill>
              <w14:schemeClr w14:val="tx1"/>
            </w14:solidFill>
          </w14:textFill>
        </w:rPr>
        <w:t>（四）投诉热点</w:t>
      </w:r>
      <w:bookmarkEnd w:id="349"/>
    </w:p>
    <w:p w14:paraId="2EEC185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2024年，消费者反映房地产中介有关的案件中，较为突出的问题</w:t>
      </w:r>
      <w:r>
        <w:rPr>
          <w:rFonts w:ascii="Times New Roman" w:hAnsi="Times New Roman" w:eastAsia="仿宋_GB2312"/>
          <w:color w:val="000000" w:themeColor="text1"/>
          <w:kern w:val="0"/>
          <w:sz w:val="32"/>
          <w:szCs w:val="32"/>
          <w14:textFill>
            <w14:solidFill>
              <w14:schemeClr w14:val="tx1"/>
            </w14:solidFill>
          </w14:textFill>
        </w:rPr>
        <w:t>如下</w:t>
      </w:r>
      <w:r>
        <w:rPr>
          <w:rFonts w:ascii="Times New Roman" w:hAnsi="Times New Roman" w:eastAsia="仿宋_GB2312"/>
          <w:color w:val="000000" w:themeColor="text1"/>
          <w:kern w:val="0"/>
          <w:sz w:val="32"/>
          <w:szCs w:val="32"/>
          <w:lang w:val="zh-TW"/>
          <w14:textFill>
            <w14:solidFill>
              <w14:schemeClr w14:val="tx1"/>
            </w14:solidFill>
          </w14:textFill>
        </w:rPr>
        <w:t>：</w:t>
      </w:r>
    </w:p>
    <w:p w14:paraId="1D913690">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（一）签约后，因交易当事人一方违约或双方协商一致终止合同，导致交易不成，要求行政主管部门协助退回定金、中介费、按揭费等的案件，其中一手房交易纠纷案件中</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同比增长19.4%，二手房交易纠纷案件中</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同比增长49.2%。产生该类案件的主要原因可能是消费者在签约前未做好交易风险评估，一旦遇到银行审批的贷款额度不足或</w:t>
      </w:r>
      <w:r>
        <w:rPr>
          <w:rFonts w:ascii="Times New Roman" w:hAnsi="Times New Roman" w:eastAsia="仿宋_GB2312"/>
          <w:color w:val="000000" w:themeColor="text1"/>
          <w:kern w:val="0"/>
          <w:sz w:val="32"/>
          <w:szCs w:val="32"/>
          <w14:textFill>
            <w14:solidFill>
              <w14:schemeClr w14:val="tx1"/>
            </w14:solidFill>
          </w14:textFill>
        </w:rPr>
        <w:t>拒</w:t>
      </w:r>
      <w:r>
        <w:rPr>
          <w:rFonts w:ascii="Times New Roman" w:hAnsi="Times New Roman" w:eastAsia="仿宋_GB2312"/>
          <w:color w:val="000000" w:themeColor="text1"/>
          <w:kern w:val="0"/>
          <w:sz w:val="32"/>
          <w:szCs w:val="32"/>
          <w:lang w:val="zh-TW"/>
          <w14:textFill>
            <w14:solidFill>
              <w14:schemeClr w14:val="tx1"/>
            </w14:solidFill>
          </w14:textFill>
        </w:rPr>
        <w:t>批时，无法履行合同的支付义务，导致交易终止。亦可能</w:t>
      </w:r>
      <w:r>
        <w:rPr>
          <w:rFonts w:hint="eastAsia" w:ascii="Times New Roman" w:hAnsi="Times New Roman" w:eastAsia="仿宋_GB2312"/>
          <w:color w:val="000000" w:themeColor="text1"/>
          <w:kern w:val="0"/>
          <w:sz w:val="32"/>
          <w:szCs w:val="32"/>
          <w:lang w:val="zh-TW"/>
          <w14:textFill>
            <w14:solidFill>
              <w14:schemeClr w14:val="tx1"/>
            </w14:solidFill>
          </w14:textFill>
        </w:rPr>
        <w:t>因为</w:t>
      </w:r>
      <w:r>
        <w:rPr>
          <w:rFonts w:ascii="Times New Roman" w:hAnsi="Times New Roman" w:eastAsia="仿宋_GB2312"/>
          <w:color w:val="000000" w:themeColor="text1"/>
          <w:kern w:val="0"/>
          <w:sz w:val="32"/>
          <w:szCs w:val="32"/>
          <w:lang w:val="zh-TW"/>
          <w14:textFill>
            <w14:solidFill>
              <w14:schemeClr w14:val="tx1"/>
            </w14:solidFill>
          </w14:textFill>
        </w:rPr>
        <w:t>消费者</w:t>
      </w:r>
      <w:r>
        <w:rPr>
          <w:rFonts w:hint="eastAsia" w:ascii="Times New Roman" w:hAnsi="Times New Roman" w:eastAsia="仿宋_GB2312"/>
          <w:color w:val="000000" w:themeColor="text1"/>
          <w:kern w:val="0"/>
          <w:sz w:val="32"/>
          <w:szCs w:val="32"/>
          <w:lang w:val="zh-TW"/>
          <w14:textFill>
            <w14:solidFill>
              <w14:schemeClr w14:val="tx1"/>
            </w14:solidFill>
          </w14:textFill>
        </w:rPr>
        <w:t>个人原因，</w:t>
      </w:r>
      <w:r>
        <w:rPr>
          <w:rFonts w:ascii="Times New Roman" w:hAnsi="Times New Roman" w:eastAsia="仿宋_GB2312"/>
          <w:color w:val="000000" w:themeColor="text1"/>
          <w:kern w:val="0"/>
          <w:sz w:val="32"/>
          <w:szCs w:val="32"/>
          <w:lang w:val="zh-TW"/>
          <w14:textFill>
            <w14:solidFill>
              <w14:schemeClr w14:val="tx1"/>
            </w14:solidFill>
          </w14:textFill>
        </w:rPr>
        <w:t>签约后单方要求解除合同退回房款。这一类投诉案件的主要诉求是解除合同，退回房款（或要求违约方赔偿守约方经济损失），属于民商事范畴。因行政主管部门无权质疑合同的有效性，也无权强制要求交易双方当事人履行或解除合同(或协议），故在协商不成的情况下，建议消费者通过司法途径解决。而当该类案件的诉求未得到解决时，易引起消费者的二次投诉。</w:t>
      </w:r>
    </w:p>
    <w:p w14:paraId="2C88D315">
      <w:pPr>
        <w:spacing w:line="560" w:lineRule="exact"/>
        <w:ind w:firstLine="482"/>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（二）消费者反映房地产中介违规使用网签系统，如：1</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签署《中介服务合同》前，中介在网签系统擅自选择独家委托方式，但未告知消费者相关的权利和义务，导致消费者被限制通过选择其他中介公司成交物业，从而引发投诉。2</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网签合同签订后，在交易双方协商一致解除合同的情况下，消费者要求中介配合撤下网签，但中介要求交易当事人完成中介服务费支付后才同意配合撤下网签</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3</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签订合同后因一方原因导致交易不成，买方不配合卖方撤下网签合同，导致网签无法解除。</w:t>
      </w:r>
    </w:p>
    <w:p w14:paraId="1BDE777A">
      <w:pPr>
        <w:pStyle w:val="2"/>
        <w:spacing w:before="120" w:beforeLines="50" w:after="120" w:afterLines="50" w:line="360" w:lineRule="auto"/>
        <w:ind w:firstLine="643" w:firstLineChars="200"/>
        <w:rPr>
          <w:rFonts w:ascii="Times New Roman" w:hAnsi="Times New Roman" w:eastAsia="黑体"/>
          <w:bCs w:val="0"/>
          <w:color w:val="000000" w:themeColor="text1"/>
          <w:sz w:val="32"/>
          <w:szCs w:val="24"/>
          <w14:textFill>
            <w14:solidFill>
              <w14:schemeClr w14:val="tx1"/>
            </w14:solidFill>
          </w14:textFill>
        </w:rPr>
      </w:pPr>
      <w:bookmarkStart w:id="350" w:name="_Toc192845465"/>
      <w:bookmarkStart w:id="351" w:name="_Toc98168328"/>
      <w:r>
        <w:rPr>
          <w:rFonts w:ascii="Times New Roman" w:hAnsi="Times New Roman" w:eastAsia="黑体"/>
          <w:bCs w:val="0"/>
          <w:color w:val="000000" w:themeColor="text1"/>
          <w:sz w:val="32"/>
          <w:szCs w:val="24"/>
          <w14:textFill>
            <w14:solidFill>
              <w14:schemeClr w14:val="tx1"/>
            </w14:solidFill>
          </w14:textFill>
        </w:rPr>
        <w:t>九、行业管理与自律举措</w:t>
      </w:r>
      <w:bookmarkEnd w:id="350"/>
      <w:bookmarkEnd w:id="351"/>
    </w:p>
    <w:p w14:paraId="67199E3C">
      <w:pPr>
        <w:pStyle w:val="3"/>
        <w:spacing w:before="240" w:after="0" w:line="360" w:lineRule="auto"/>
        <w:ind w:firstLine="562" w:firstLineChars="200"/>
        <w:rPr>
          <w:rFonts w:ascii="Times New Roman" w:hAnsi="Times New Roman" w:eastAsia="黑体" w:cs="Times New Roman"/>
          <w:b w:val="0"/>
          <w:color w:val="FF0000"/>
          <w:sz w:val="28"/>
          <w:szCs w:val="28"/>
        </w:rPr>
      </w:pPr>
      <w:bookmarkStart w:id="352" w:name="_Toc192845466"/>
      <w:bookmarkStart w:id="353" w:name="_Toc98168330"/>
      <w:bookmarkStart w:id="354" w:name="_Toc98168329"/>
      <w:bookmarkStart w:id="355" w:name="_Toc64643532"/>
      <w:r>
        <w:rPr>
          <w:rFonts w:ascii="Times New Roman" w:hAnsi="Times New Roman" w:eastAsia="黑体" w:cs="Times New Roman"/>
          <w:color w:val="000000" w:themeColor="text1"/>
          <w:sz w:val="28"/>
          <w:szCs w:val="28"/>
          <w14:textFill>
            <w14:solidFill>
              <w14:schemeClr w14:val="tx1"/>
            </w14:solidFill>
          </w14:textFill>
        </w:rPr>
        <w:t>（一）加大《房地产中介服务规范》培训力度</w:t>
      </w:r>
      <w:bookmarkEnd w:id="352"/>
    </w:p>
    <w:p w14:paraId="72DA9714">
      <w:pPr>
        <w:spacing w:line="560" w:lineRule="exact"/>
        <w:ind w:firstLine="800" w:firstLineChars="25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2024年，市交监中心、市中介协会积极组织已备案的中介机构（含分支机构）及从业人员开展《房地产中介服务规范》培训，共计培训17场次，</w:t>
      </w:r>
      <w:r>
        <w:rPr>
          <w:rFonts w:hint="eastAsia" w:ascii="Times New Roman" w:hAnsi="Times New Roman" w:eastAsia="仿宋_GB2312"/>
          <w:color w:val="000000" w:themeColor="text1"/>
          <w:kern w:val="0"/>
          <w:sz w:val="32"/>
          <w:szCs w:val="32"/>
          <w:lang w:val="zh-TW"/>
          <w14:textFill>
            <w14:solidFill>
              <w14:schemeClr w14:val="tx1"/>
            </w14:solidFill>
          </w14:textFill>
        </w:rPr>
        <w:t>有</w:t>
      </w:r>
      <w:r>
        <w:rPr>
          <w:rFonts w:ascii="Times New Roman" w:hAnsi="Times New Roman" w:eastAsia="仿宋_GB2312"/>
          <w:color w:val="000000" w:themeColor="text1"/>
          <w:kern w:val="0"/>
          <w:sz w:val="32"/>
          <w:szCs w:val="32"/>
          <w:lang w:val="zh-TW"/>
          <w14:textFill>
            <w14:solidFill>
              <w14:schemeClr w14:val="tx1"/>
            </w14:solidFill>
          </w14:textFill>
        </w:rPr>
        <w:t>1162家</w:t>
      </w:r>
      <w:r>
        <w:rPr>
          <w:rFonts w:ascii="Times New Roman" w:hAnsi="Times New Roman" w:eastAsia="仿宋_GB2312"/>
          <w:color w:val="000000" w:themeColor="text1"/>
          <w:kern w:val="0"/>
          <w:sz w:val="32"/>
          <w:szCs w:val="32"/>
          <w14:textFill>
            <w14:solidFill>
              <w14:schemeClr w14:val="tx1"/>
            </w14:solidFill>
          </w14:textFill>
        </w:rPr>
        <w:t>中介机构</w:t>
      </w:r>
      <w:r>
        <w:rPr>
          <w:rFonts w:ascii="Times New Roman" w:hAnsi="Times New Roman" w:eastAsia="仿宋_GB2312"/>
          <w:color w:val="000000" w:themeColor="text1"/>
          <w:kern w:val="0"/>
          <w:sz w:val="32"/>
          <w:szCs w:val="32"/>
          <w:lang w:val="zh-TW"/>
          <w14:textFill>
            <w14:solidFill>
              <w14:schemeClr w14:val="tx1"/>
            </w14:solidFill>
          </w14:textFill>
        </w:rPr>
        <w:t>参训。培训旨在帮助从业人员熟悉服务规范要点，引导中介机构以及从业人员更加科学、合理、规范地开展业务，提高经营管理水平和服务能力，提升行业形象，维护房地产市场秩序，切实保障房地产交易当事人的合法权益，促进房地产行业的持续健康稳定发展。</w:t>
      </w:r>
    </w:p>
    <w:p w14:paraId="6F2AB6CB">
      <w:pPr>
        <w:pStyle w:val="26"/>
        <w:ind w:firstLine="0"/>
        <w:jc w:val="center"/>
        <w:rPr>
          <w:rFonts w:hint="default"/>
        </w:rPr>
      </w:pPr>
      <w:r>
        <w:rPr>
          <w:rFonts w:hint="default"/>
        </w:rPr>
        <w:drawing>
          <wp:inline distT="0" distB="0" distL="0" distR="0">
            <wp:extent cx="1600200" cy="1600200"/>
            <wp:effectExtent l="0" t="0" r="0" b="0"/>
            <wp:docPr id="32" name="图片 32" descr="D:\研究部\行业信用白皮书与行业生态研究报告\2022年中介行业信用白皮书\广州市地方标准--房地产中介服务规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研究部\行业信用白皮书与行业生态研究报告\2022年中介行业信用白皮书\广州市地方标准--房地产中介服务规范.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600200" cy="1600200"/>
                    </a:xfrm>
                    <a:prstGeom prst="rect">
                      <a:avLst/>
                    </a:prstGeom>
                    <a:noFill/>
                    <a:ln>
                      <a:noFill/>
                    </a:ln>
                  </pic:spPr>
                </pic:pic>
              </a:graphicData>
            </a:graphic>
          </wp:inline>
        </w:drawing>
      </w:r>
    </w:p>
    <w:p w14:paraId="2E2B83CC">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▲扫码下载《服务规范》全文</w:t>
      </w:r>
    </w:p>
    <w:bookmarkEnd w:id="353"/>
    <w:p w14:paraId="2EB532F2">
      <w:pPr>
        <w:pStyle w:val="3"/>
        <w:spacing w:before="240" w:after="0" w:line="360" w:lineRule="auto"/>
        <w:ind w:firstLine="562" w:firstLineChars="200"/>
        <w:rPr>
          <w:rFonts w:ascii="Times New Roman" w:hAnsi="Times New Roman" w:eastAsia="黑体" w:cs="Times New Roman"/>
          <w:color w:val="000000" w:themeColor="text1"/>
          <w:sz w:val="28"/>
          <w:szCs w:val="28"/>
          <w14:textFill>
            <w14:solidFill>
              <w14:schemeClr w14:val="tx1"/>
            </w14:solidFill>
          </w14:textFill>
        </w:rPr>
      </w:pPr>
      <w:bookmarkStart w:id="356" w:name="_Toc192845467"/>
      <w:r>
        <w:rPr>
          <w:rFonts w:ascii="Times New Roman" w:hAnsi="Times New Roman" w:eastAsia="黑体" w:cs="Times New Roman"/>
          <w:color w:val="000000" w:themeColor="text1"/>
          <w:sz w:val="28"/>
          <w:szCs w:val="28"/>
          <w14:textFill>
            <w14:solidFill>
              <w14:schemeClr w14:val="tx1"/>
            </w14:solidFill>
          </w14:textFill>
        </w:rPr>
        <w:t>（二）</w:t>
      </w:r>
      <w:r>
        <w:rPr>
          <w:rFonts w:hint="eastAsia" w:ascii="Times New Roman" w:hAnsi="Times New Roman" w:eastAsia="黑体" w:cs="Times New Roman"/>
          <w:color w:val="000000" w:themeColor="text1"/>
          <w:sz w:val="28"/>
          <w:szCs w:val="28"/>
          <w14:textFill>
            <w14:solidFill>
              <w14:schemeClr w14:val="tx1"/>
            </w14:solidFill>
          </w14:textFill>
        </w:rPr>
        <w:t>进一步</w:t>
      </w:r>
      <w:r>
        <w:rPr>
          <w:rFonts w:ascii="Times New Roman" w:hAnsi="Times New Roman" w:eastAsia="黑体" w:cs="Times New Roman"/>
          <w:color w:val="000000" w:themeColor="text1"/>
          <w:sz w:val="28"/>
          <w:szCs w:val="28"/>
          <w14:textFill>
            <w14:solidFill>
              <w14:schemeClr w14:val="tx1"/>
            </w14:solidFill>
          </w14:textFill>
        </w:rPr>
        <w:t>推动存量房交易资金托管</w:t>
      </w:r>
      <w:bookmarkEnd w:id="356"/>
    </w:p>
    <w:p w14:paraId="3FE0D07C">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为促进房地产市场平稳健康发展，进一步加强我市存量房交易资金管理工作，2024年7月，市住房城乡建设局与中国人民银行广东省分行营业管理部、国家金融监督管理总局广东监管局联合制定印发了《广州市存量房交易资金托管服务操作指引》，从交易双方当事人签订存量房买卖合同、签订资金托管协议、首付款交存、尾款入账、交易完成后资金划转以及交易终止后的退款等提供了全流程指引，为存量房交易资金安全保驾护航。</w:t>
      </w:r>
    </w:p>
    <w:p w14:paraId="3BD95D13">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结合指引的印发，为进一步持续深化激发资金托管</w:t>
      </w:r>
      <w:r>
        <w:rPr>
          <w:rFonts w:hint="eastAsia" w:ascii="仿宋_GB2312" w:hAnsi="Times New Roman" w:eastAsia="仿宋_GB2312"/>
          <w:color w:val="000000" w:themeColor="text1"/>
          <w:kern w:val="0"/>
          <w:sz w:val="32"/>
          <w:szCs w:val="32"/>
          <w:lang w:val="zh-TW"/>
          <w14:textFill>
            <w14:solidFill>
              <w14:schemeClr w14:val="tx1"/>
            </w14:solidFill>
          </w14:textFill>
        </w:rPr>
        <w:t>“安全锁”</w:t>
      </w:r>
      <w:r>
        <w:rPr>
          <w:rFonts w:ascii="Times New Roman" w:hAnsi="Times New Roman" w:eastAsia="仿宋_GB2312"/>
          <w:color w:val="000000" w:themeColor="text1"/>
          <w:kern w:val="0"/>
          <w:sz w:val="32"/>
          <w:szCs w:val="32"/>
          <w:lang w:val="zh-TW"/>
          <w14:textFill>
            <w14:solidFill>
              <w14:schemeClr w14:val="tx1"/>
            </w14:solidFill>
          </w14:textFill>
        </w:rPr>
        <w:t>效能，扩大资金托管覆盖面，市交监中心联合15家资金托管机构（14家</w:t>
      </w:r>
      <w:r>
        <w:rPr>
          <w:rFonts w:hint="eastAsia" w:ascii="Times New Roman" w:hAnsi="Times New Roman" w:eastAsia="仿宋_GB2312"/>
          <w:color w:val="000000" w:themeColor="text1"/>
          <w:kern w:val="0"/>
          <w:sz w:val="32"/>
          <w:szCs w:val="32"/>
          <w:lang w:val="zh-TW"/>
          <w14:textFill>
            <w14:solidFill>
              <w14:schemeClr w14:val="tx1"/>
            </w14:solidFill>
          </w14:textFill>
        </w:rPr>
        <w:t>商业</w:t>
      </w:r>
      <w:r>
        <w:rPr>
          <w:rFonts w:ascii="Times New Roman" w:hAnsi="Times New Roman" w:eastAsia="仿宋_GB2312"/>
          <w:color w:val="000000" w:themeColor="text1"/>
          <w:kern w:val="0"/>
          <w:sz w:val="32"/>
          <w:szCs w:val="32"/>
          <w:lang w:val="zh-TW"/>
          <w14:textFill>
            <w14:solidFill>
              <w14:schemeClr w14:val="tx1"/>
            </w14:solidFill>
          </w14:textFill>
        </w:rPr>
        <w:t>银行和1家金融机构）于</w:t>
      </w:r>
      <w:r>
        <w:rPr>
          <w:rFonts w:hint="eastAsia" w:ascii="Times New Roman" w:hAnsi="Times New Roman" w:eastAsia="仿宋_GB2312"/>
          <w:color w:val="000000" w:themeColor="text1"/>
          <w:kern w:val="0"/>
          <w:sz w:val="32"/>
          <w:szCs w:val="32"/>
          <w:lang w:val="zh-TW"/>
          <w14:textFill>
            <w14:solidFill>
              <w14:schemeClr w14:val="tx1"/>
            </w14:solidFill>
          </w14:textFill>
        </w:rPr>
        <w:t>2024年</w:t>
      </w:r>
      <w:r>
        <w:rPr>
          <w:rFonts w:ascii="Times New Roman" w:hAnsi="Times New Roman" w:eastAsia="仿宋_GB2312"/>
          <w:color w:val="000000" w:themeColor="text1"/>
          <w:kern w:val="0"/>
          <w:sz w:val="32"/>
          <w:szCs w:val="32"/>
          <w:lang w:val="zh-TW"/>
          <w14:textFill>
            <w14:solidFill>
              <w14:schemeClr w14:val="tx1"/>
            </w14:solidFill>
          </w14:textFill>
        </w:rPr>
        <w:t>7月30日在中华广场举办了首场</w:t>
      </w:r>
      <w:r>
        <w:rPr>
          <w:rFonts w:hint="eastAsia" w:ascii="仿宋_GB2312" w:hAnsi="Times New Roman" w:eastAsia="仿宋_GB2312"/>
          <w:color w:val="000000" w:themeColor="text1"/>
          <w:kern w:val="0"/>
          <w:sz w:val="32"/>
          <w:szCs w:val="32"/>
          <w:lang w:val="zh-TW"/>
          <w14:textFill>
            <w14:solidFill>
              <w14:schemeClr w14:val="tx1"/>
            </w14:solidFill>
          </w14:textFill>
        </w:rPr>
        <w:t>“存量房交易资金托管”</w:t>
      </w:r>
      <w:r>
        <w:rPr>
          <w:rFonts w:ascii="Times New Roman" w:hAnsi="Times New Roman" w:eastAsia="仿宋_GB2312"/>
          <w:color w:val="000000" w:themeColor="text1"/>
          <w:kern w:val="0"/>
          <w:sz w:val="32"/>
          <w:szCs w:val="32"/>
          <w:lang w:val="zh-TW"/>
          <w14:textFill>
            <w14:solidFill>
              <w14:schemeClr w14:val="tx1"/>
            </w14:solidFill>
          </w14:textFill>
        </w:rPr>
        <w:t>现场宣传咨询活动，共设置咨询摊位16个，</w:t>
      </w:r>
      <w:r>
        <w:rPr>
          <w:rFonts w:hint="eastAsia" w:ascii="Times New Roman" w:hAnsi="Times New Roman" w:eastAsia="仿宋_GB2312"/>
          <w:color w:val="000000" w:themeColor="text1"/>
          <w:kern w:val="0"/>
          <w:sz w:val="32"/>
          <w:szCs w:val="32"/>
          <w14:textFill>
            <w14:solidFill>
              <w14:schemeClr w14:val="tx1"/>
            </w14:solidFill>
          </w14:textFill>
        </w:rPr>
        <w:t>进一步</w:t>
      </w:r>
      <w:r>
        <w:rPr>
          <w:rFonts w:ascii="Times New Roman" w:hAnsi="Times New Roman" w:eastAsia="仿宋_GB2312"/>
          <w:color w:val="000000" w:themeColor="text1"/>
          <w:kern w:val="0"/>
          <w:sz w:val="32"/>
          <w:szCs w:val="32"/>
          <w:lang w:val="zh-TW"/>
          <w14:textFill>
            <w14:solidFill>
              <w14:schemeClr w14:val="tx1"/>
            </w14:solidFill>
          </w14:textFill>
        </w:rPr>
        <w:t>推动存量房交易资金托管工作走深走实。</w:t>
      </w:r>
    </w:p>
    <w:p w14:paraId="71825AEC">
      <w:pPr>
        <w:pStyle w:val="3"/>
        <w:spacing w:before="240" w:after="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357" w:name="_Toc192845468"/>
      <w:r>
        <w:rPr>
          <w:rFonts w:ascii="Times New Roman" w:hAnsi="Times New Roman" w:eastAsia="黑体" w:cs="Times New Roman"/>
          <w:bCs w:val="0"/>
          <w:color w:val="000000" w:themeColor="text1"/>
          <w:sz w:val="28"/>
          <w:szCs w:val="28"/>
          <w14:textFill>
            <w14:solidFill>
              <w14:schemeClr w14:val="tx1"/>
            </w14:solidFill>
          </w14:textFill>
        </w:rPr>
        <w:t>（三）继续推行阳光承诺</w:t>
      </w:r>
      <w:bookmarkEnd w:id="354"/>
      <w:bookmarkEnd w:id="357"/>
    </w:p>
    <w:p w14:paraId="2F6F5BF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2018年10月23日，市中介协会14家会员单位自愿发起房地产中介阳光承诺活动，签署《广州房地产中介阳光承诺书》，承诺期内</w:t>
      </w:r>
      <w:r>
        <w:rPr>
          <w:rFonts w:hint="eastAsia" w:ascii="Times New Roman" w:hAnsi="Times New Roman" w:eastAsia="仿宋_GB2312"/>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另有</w:t>
      </w:r>
      <w:r>
        <w:rPr>
          <w:rFonts w:hint="eastAsia" w:ascii="Times New Roman" w:hAnsi="Times New Roman" w:eastAsia="仿宋_GB2312"/>
          <w:color w:val="000000" w:themeColor="text1"/>
          <w:kern w:val="0"/>
          <w:sz w:val="32"/>
          <w:szCs w:val="32"/>
          <w:lang w:val="zh-TW"/>
          <w14:textFill>
            <w14:solidFill>
              <w14:schemeClr w14:val="tx1"/>
            </w14:solidFill>
          </w14:textFill>
        </w:rPr>
        <w:t>4家会员单位加入承诺队伍，</w:t>
      </w:r>
      <w:r>
        <w:rPr>
          <w:rFonts w:ascii="Times New Roman" w:hAnsi="Times New Roman" w:eastAsia="仿宋_GB2312"/>
          <w:color w:val="000000" w:themeColor="text1"/>
          <w:kern w:val="0"/>
          <w:sz w:val="32"/>
          <w:szCs w:val="32"/>
          <w:lang w:val="zh-TW"/>
          <w14:textFill>
            <w14:solidFill>
              <w14:schemeClr w14:val="tx1"/>
            </w14:solidFill>
          </w14:textFill>
        </w:rPr>
        <w:t>该项承诺活动至2021年10月22日已达期限。</w:t>
      </w:r>
    </w:p>
    <w:p w14:paraId="2BE41E71">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经市交监中心和市中介协会见证，共有9家中介机构自愿续签《承诺书》，另有5家中介机构新加入承诺队伍，新的承诺期自2021年10月23日至2024年10月31日。</w:t>
      </w:r>
    </w:p>
    <w:p w14:paraId="03E9382C">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截至2024年10月，签署《广州房地产中介阳光承诺书》</w:t>
      </w:r>
      <w:r>
        <w:rPr>
          <w:rFonts w:hint="eastAsia" w:ascii="Times New Roman" w:hAnsi="Times New Roman" w:eastAsia="仿宋_GB2312"/>
          <w:color w:val="000000" w:themeColor="text1"/>
          <w:kern w:val="0"/>
          <w:sz w:val="32"/>
          <w:szCs w:val="32"/>
          <w14:textFill>
            <w14:solidFill>
              <w14:schemeClr w14:val="tx1"/>
            </w14:solidFill>
          </w14:textFill>
        </w:rPr>
        <w:t>的中介</w:t>
      </w:r>
      <w:r>
        <w:rPr>
          <w:rFonts w:ascii="Times New Roman" w:hAnsi="Times New Roman" w:eastAsia="仿宋_GB2312"/>
          <w:color w:val="000000" w:themeColor="text1"/>
          <w:kern w:val="0"/>
          <w:sz w:val="32"/>
          <w:szCs w:val="32"/>
          <w:lang w:val="zh-TW"/>
          <w14:textFill>
            <w14:solidFill>
              <w14:schemeClr w14:val="tx1"/>
            </w14:solidFill>
          </w14:textFill>
        </w:rPr>
        <w:t>机构已累计协调买卖/租赁双方解除合同2820宗，其中房屋买卖2055宗，房屋租赁765宗，依照承诺退回或放弃收取中介服务费共约97,749,440.90元，对消费者举报已出售或业主变更等未及时撤下的107宗房源信息进行赔付，共10700元。</w:t>
      </w:r>
    </w:p>
    <w:p w14:paraId="2ED342A9">
      <w:pPr>
        <w:spacing w:line="360" w:lineRule="auto"/>
        <w:ind w:firstLine="562"/>
        <w:rPr>
          <w:rFonts w:ascii="Times New Roman" w:hAnsi="Times New Roman" w:eastAsia="楷体"/>
          <w:b/>
          <w:color w:val="000000" w:themeColor="text1"/>
          <w:sz w:val="24"/>
          <w:szCs w:val="28"/>
          <w14:textFill>
            <w14:solidFill>
              <w14:schemeClr w14:val="tx1"/>
            </w14:solidFill>
          </w14:textFill>
        </w:rPr>
      </w:pPr>
      <w:r>
        <w:rPr>
          <w:rFonts w:ascii="Times New Roman" w:hAnsi="Times New Roman" w:eastAsia="楷体"/>
          <w:b/>
          <w:color w:val="000000" w:themeColor="text1"/>
          <w:sz w:val="24"/>
          <w:szCs w:val="28"/>
          <w14:textFill>
            <w14:solidFill>
              <w14:schemeClr w14:val="tx1"/>
            </w14:solidFill>
          </w14:textFill>
        </w:rPr>
        <w:t>六项房地产中介阳光承诺是：</w:t>
      </w:r>
    </w:p>
    <w:p w14:paraId="4C938C48">
      <w:pPr>
        <w:spacing w:line="360" w:lineRule="auto"/>
        <w:ind w:firstLine="562"/>
        <w:rPr>
          <w:rFonts w:ascii="Times New Roman" w:hAnsi="Times New Roman" w:eastAsia="楷体"/>
          <w:color w:val="000000" w:themeColor="text1"/>
          <w:sz w:val="24"/>
          <w:szCs w:val="28"/>
          <w14:textFill>
            <w14:solidFill>
              <w14:schemeClr w14:val="tx1"/>
            </w14:solidFill>
          </w14:textFill>
        </w:rPr>
      </w:pPr>
      <w:r>
        <w:rPr>
          <w:rFonts w:ascii="Times New Roman" w:hAnsi="Times New Roman" w:eastAsia="楷体"/>
          <w:color w:val="000000" w:themeColor="text1"/>
          <w:sz w:val="24"/>
          <w:szCs w:val="28"/>
          <w14:textFill>
            <w14:solidFill>
              <w14:schemeClr w14:val="tx1"/>
            </w14:solidFill>
          </w14:textFill>
        </w:rPr>
        <w:t>一、交易不成，不收中介服务费；</w:t>
      </w:r>
    </w:p>
    <w:p w14:paraId="0D838B3C">
      <w:pPr>
        <w:spacing w:line="360" w:lineRule="auto"/>
        <w:ind w:firstLine="562"/>
        <w:rPr>
          <w:rFonts w:ascii="Times New Roman" w:hAnsi="Times New Roman" w:eastAsia="楷体"/>
          <w:color w:val="000000" w:themeColor="text1"/>
          <w:sz w:val="24"/>
          <w:szCs w:val="28"/>
          <w14:textFill>
            <w14:solidFill>
              <w14:schemeClr w14:val="tx1"/>
            </w14:solidFill>
          </w14:textFill>
        </w:rPr>
      </w:pPr>
      <w:r>
        <w:rPr>
          <w:rFonts w:ascii="Times New Roman" w:hAnsi="Times New Roman" w:eastAsia="楷体"/>
          <w:color w:val="000000" w:themeColor="text1"/>
          <w:sz w:val="24"/>
          <w:szCs w:val="28"/>
          <w14:textFill>
            <w14:solidFill>
              <w14:schemeClr w14:val="tx1"/>
            </w14:solidFill>
          </w14:textFill>
        </w:rPr>
        <w:t>二、全渠道发布真实房源信息；</w:t>
      </w:r>
    </w:p>
    <w:p w14:paraId="2CE0C187">
      <w:pPr>
        <w:spacing w:line="360" w:lineRule="auto"/>
        <w:ind w:firstLine="562"/>
        <w:rPr>
          <w:rFonts w:ascii="Times New Roman" w:hAnsi="Times New Roman" w:eastAsia="楷体"/>
          <w:color w:val="000000" w:themeColor="text1"/>
          <w:sz w:val="24"/>
          <w:szCs w:val="28"/>
          <w14:textFill>
            <w14:solidFill>
              <w14:schemeClr w14:val="tx1"/>
            </w14:solidFill>
          </w14:textFill>
        </w:rPr>
      </w:pPr>
      <w:r>
        <w:rPr>
          <w:rFonts w:ascii="Times New Roman" w:hAnsi="Times New Roman" w:eastAsia="楷体"/>
          <w:color w:val="000000" w:themeColor="text1"/>
          <w:sz w:val="24"/>
          <w:szCs w:val="28"/>
          <w14:textFill>
            <w14:solidFill>
              <w14:schemeClr w14:val="tx1"/>
            </w14:solidFill>
          </w14:textFill>
        </w:rPr>
        <w:t>三、交易公开透明，不吃差价，不乱收费、不强制服务，规范开具发票；</w:t>
      </w:r>
    </w:p>
    <w:p w14:paraId="0FACF073">
      <w:pPr>
        <w:spacing w:line="360" w:lineRule="auto"/>
        <w:ind w:firstLine="562"/>
        <w:rPr>
          <w:rFonts w:ascii="Times New Roman" w:hAnsi="Times New Roman" w:eastAsia="楷体"/>
          <w:color w:val="000000" w:themeColor="text1"/>
          <w:sz w:val="24"/>
          <w:szCs w:val="28"/>
          <w14:textFill>
            <w14:solidFill>
              <w14:schemeClr w14:val="tx1"/>
            </w14:solidFill>
          </w14:textFill>
        </w:rPr>
      </w:pPr>
      <w:r>
        <w:rPr>
          <w:rFonts w:ascii="Times New Roman" w:hAnsi="Times New Roman" w:eastAsia="楷体"/>
          <w:color w:val="000000" w:themeColor="text1"/>
          <w:sz w:val="24"/>
          <w:szCs w:val="28"/>
          <w14:textFill>
            <w14:solidFill>
              <w14:schemeClr w14:val="tx1"/>
            </w14:solidFill>
          </w14:textFill>
        </w:rPr>
        <w:t>四、不制作</w:t>
      </w:r>
      <w:r>
        <w:rPr>
          <w:rFonts w:ascii="楷体" w:hAnsi="楷体" w:eastAsia="楷体"/>
          <w:color w:val="000000" w:themeColor="text1"/>
          <w:sz w:val="24"/>
          <w:szCs w:val="28"/>
          <w14:textFill>
            <w14:solidFill>
              <w14:schemeClr w14:val="tx1"/>
            </w14:solidFill>
          </w14:textFill>
        </w:rPr>
        <w:t>“阴阳合同”</w:t>
      </w:r>
      <w:r>
        <w:rPr>
          <w:rFonts w:ascii="Times New Roman" w:hAnsi="Times New Roman" w:eastAsia="楷体"/>
          <w:color w:val="000000" w:themeColor="text1"/>
          <w:sz w:val="24"/>
          <w:szCs w:val="28"/>
          <w14:textFill>
            <w14:solidFill>
              <w14:schemeClr w14:val="tx1"/>
            </w14:solidFill>
          </w14:textFill>
        </w:rPr>
        <w:t>；</w:t>
      </w:r>
    </w:p>
    <w:p w14:paraId="209C3377">
      <w:pPr>
        <w:spacing w:line="360" w:lineRule="auto"/>
        <w:ind w:firstLine="562"/>
        <w:rPr>
          <w:rFonts w:ascii="Times New Roman" w:hAnsi="Times New Roman" w:eastAsia="楷体"/>
          <w:color w:val="000000" w:themeColor="text1"/>
          <w:sz w:val="24"/>
          <w:szCs w:val="28"/>
          <w14:textFill>
            <w14:solidFill>
              <w14:schemeClr w14:val="tx1"/>
            </w14:solidFill>
          </w14:textFill>
        </w:rPr>
      </w:pPr>
      <w:r>
        <w:rPr>
          <w:rFonts w:ascii="Times New Roman" w:hAnsi="Times New Roman" w:eastAsia="楷体"/>
          <w:color w:val="000000" w:themeColor="text1"/>
          <w:sz w:val="24"/>
          <w:szCs w:val="28"/>
          <w14:textFill>
            <w14:solidFill>
              <w14:schemeClr w14:val="tx1"/>
            </w14:solidFill>
          </w14:textFill>
        </w:rPr>
        <w:t>五、不承购、承租自己提供经纪服务的房屋；</w:t>
      </w:r>
    </w:p>
    <w:p w14:paraId="40D1F1E1">
      <w:pPr>
        <w:spacing w:line="360" w:lineRule="auto"/>
        <w:ind w:firstLine="562"/>
        <w:rPr>
          <w:rFonts w:ascii="Times New Roman" w:hAnsi="Times New Roman" w:eastAsia="楷体"/>
          <w:color w:val="000000" w:themeColor="text1"/>
          <w:sz w:val="24"/>
          <w:szCs w:val="28"/>
          <w14:textFill>
            <w14:solidFill>
              <w14:schemeClr w14:val="tx1"/>
            </w14:solidFill>
          </w14:textFill>
        </w:rPr>
      </w:pPr>
      <w:r>
        <w:rPr>
          <w:rFonts w:ascii="Times New Roman" w:hAnsi="Times New Roman" w:eastAsia="楷体"/>
          <w:color w:val="000000" w:themeColor="text1"/>
          <w:sz w:val="24"/>
          <w:szCs w:val="28"/>
          <w14:textFill>
            <w14:solidFill>
              <w14:schemeClr w14:val="tx1"/>
            </w14:solidFill>
          </w14:textFill>
        </w:rPr>
        <w:t>六、不聘用信用等级为</w:t>
      </w:r>
      <w:r>
        <w:rPr>
          <w:rFonts w:ascii="楷体" w:hAnsi="楷体" w:eastAsia="楷体"/>
          <w:color w:val="000000" w:themeColor="text1"/>
          <w:sz w:val="24"/>
          <w:szCs w:val="28"/>
          <w14:textFill>
            <w14:solidFill>
              <w14:schemeClr w14:val="tx1"/>
            </w14:solidFill>
          </w14:textFill>
        </w:rPr>
        <w:t>“失信”</w:t>
      </w:r>
      <w:r>
        <w:rPr>
          <w:rFonts w:ascii="Times New Roman" w:hAnsi="Times New Roman" w:eastAsia="楷体"/>
          <w:color w:val="000000" w:themeColor="text1"/>
          <w:sz w:val="24"/>
          <w:szCs w:val="28"/>
          <w14:textFill>
            <w14:solidFill>
              <w14:schemeClr w14:val="tx1"/>
            </w14:solidFill>
          </w14:textFill>
        </w:rPr>
        <w:t>的从业人员。</w:t>
      </w:r>
    </w:p>
    <w:p w14:paraId="1A956FC0">
      <w:pPr>
        <w:pStyle w:val="26"/>
        <w:rPr>
          <w:rFonts w:hint="default"/>
          <w:color w:val="000000" w:themeColor="text1"/>
          <w14:textFill>
            <w14:solidFill>
              <w14:schemeClr w14:val="tx1"/>
            </w14:solidFill>
          </w14:textFill>
        </w:rPr>
      </w:pPr>
    </w:p>
    <w:p w14:paraId="2DBFC410">
      <w:pPr>
        <w:spacing w:line="360" w:lineRule="auto"/>
        <w:ind w:firstLine="562"/>
        <w:rPr>
          <w:rFonts w:ascii="Times New Roman" w:hAnsi="Times New Roman"/>
          <w:color w:val="000000" w:themeColor="text1"/>
          <w:sz w:val="22"/>
          <w:szCs w:val="28"/>
          <w14:textFill>
            <w14:solidFill>
              <w14:schemeClr w14:val="tx1"/>
            </w14:solidFill>
          </w14:textFill>
        </w:rPr>
      </w:pPr>
      <w:r>
        <w:rPr>
          <w:rFonts w:ascii="Times New Roman" w:hAnsi="Times New Roman" w:eastAsia="楷体"/>
          <w:b/>
          <w:color w:val="000000" w:themeColor="text1"/>
          <w:sz w:val="24"/>
          <w:szCs w:val="28"/>
          <w14:textFill>
            <w14:solidFill>
              <w14:schemeClr w14:val="tx1"/>
            </w14:solidFill>
          </w14:textFill>
        </w:rPr>
        <w:t>本轮签署《承诺书》的14家中介机构分别是</w:t>
      </w:r>
      <w:r>
        <w:rPr>
          <w:rFonts w:ascii="Times New Roman" w:hAnsi="Times New Roman"/>
          <w:color w:val="000000" w:themeColor="text1"/>
          <w:sz w:val="22"/>
          <w:szCs w:val="28"/>
          <w14:textFill>
            <w14:solidFill>
              <w14:schemeClr w14:val="tx1"/>
            </w14:solidFill>
          </w14:textFill>
        </w:rPr>
        <w:t>：</w:t>
      </w:r>
    </w:p>
    <w:p w14:paraId="5A04BBF0">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广东链家房地产经纪有限公司（市中介协会副会长单位）；</w:t>
      </w:r>
    </w:p>
    <w:p w14:paraId="12D2F2CA">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广东合富房地产置业有限公司（市中介协会副会长单位）；</w:t>
      </w:r>
    </w:p>
    <w:p w14:paraId="1BEF9E6F">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广州裕丰咨询顾问有限公司（市中介协会副会长单位，包含旗下广州市所有加盟并使用</w:t>
      </w:r>
      <w:r>
        <w:rPr>
          <w:rFonts w:hint="default" w:ascii="楷体" w:hAnsi="楷体" w:eastAsia="楷体"/>
          <w:color w:val="000000" w:themeColor="text1"/>
          <w:szCs w:val="28"/>
          <w14:textFill>
            <w14:solidFill>
              <w14:schemeClr w14:val="tx1"/>
            </w14:solidFill>
          </w14:textFill>
        </w:rPr>
        <w:t>“裕丰地产”</w:t>
      </w:r>
      <w:r>
        <w:rPr>
          <w:rFonts w:hint="default" w:eastAsia="楷体"/>
          <w:color w:val="000000" w:themeColor="text1"/>
          <w:szCs w:val="28"/>
          <w14:textFill>
            <w14:solidFill>
              <w14:schemeClr w14:val="tx1"/>
            </w14:solidFill>
          </w14:textFill>
        </w:rPr>
        <w:t>品牌经营的门店）；</w:t>
      </w:r>
    </w:p>
    <w:p w14:paraId="016C7AF5">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广州市乐有家房产经纪有限公司（市中介协会理事单位）；</w:t>
      </w:r>
    </w:p>
    <w:p w14:paraId="67E0ECB4">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广州市置家房地产代理有限公司（市中介协会理事单位，包含旗下广州市所有加盟并使用</w:t>
      </w:r>
      <w:r>
        <w:rPr>
          <w:rFonts w:hint="default" w:ascii="楷体" w:hAnsi="楷体" w:eastAsia="楷体"/>
          <w:color w:val="000000" w:themeColor="text1"/>
          <w:szCs w:val="28"/>
          <w14:textFill>
            <w14:solidFill>
              <w14:schemeClr w14:val="tx1"/>
            </w14:solidFill>
          </w14:textFill>
        </w:rPr>
        <w:t>“置家”</w:t>
      </w:r>
      <w:r>
        <w:rPr>
          <w:rFonts w:hint="default" w:eastAsia="楷体"/>
          <w:color w:val="000000" w:themeColor="text1"/>
          <w:szCs w:val="28"/>
          <w14:textFill>
            <w14:solidFill>
              <w14:schemeClr w14:val="tx1"/>
            </w14:solidFill>
          </w14:textFill>
        </w:rPr>
        <w:t>品牌经营的门店）；</w:t>
      </w:r>
    </w:p>
    <w:p w14:paraId="157C5710">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广东德诚行地产集团有限公司（市中介协会理事单位，包含旗下广州市所有加盟并使用</w:t>
      </w:r>
      <w:r>
        <w:rPr>
          <w:rFonts w:hint="default" w:ascii="楷体" w:hAnsi="楷体" w:eastAsia="楷体"/>
          <w:color w:val="000000" w:themeColor="text1"/>
          <w:szCs w:val="28"/>
          <w14:textFill>
            <w14:solidFill>
              <w14:schemeClr w14:val="tx1"/>
            </w14:solidFill>
          </w14:textFill>
        </w:rPr>
        <w:t>“德诚行”</w:t>
      </w:r>
      <w:r>
        <w:rPr>
          <w:rFonts w:hint="default" w:eastAsia="楷体"/>
          <w:color w:val="000000" w:themeColor="text1"/>
          <w:szCs w:val="28"/>
          <w14:textFill>
            <w14:solidFill>
              <w14:schemeClr w14:val="tx1"/>
            </w14:solidFill>
          </w14:textFill>
        </w:rPr>
        <w:t>品牌经营的门店）；</w:t>
      </w:r>
    </w:p>
    <w:p w14:paraId="297C423E">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保利地产投资顾问有限公司（市中介协会理事单位）；</w:t>
      </w:r>
    </w:p>
    <w:p w14:paraId="32CAC6E5">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广州方圆生活服务有限公司（市中介协会会员单位）；</w:t>
      </w:r>
    </w:p>
    <w:p w14:paraId="5BD01C1F">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广州市中营房地产代理有限公司（市中介协会会员单位）；</w:t>
      </w:r>
    </w:p>
    <w:p w14:paraId="6E66C022">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房六六置业(广州)有限公司（市中介协会会员单位）；</w:t>
      </w:r>
    </w:p>
    <w:p w14:paraId="3791FA18">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上海住商房地产经纪有限公司（包含旗下广州市所有加盟并使用</w:t>
      </w:r>
      <w:r>
        <w:rPr>
          <w:rFonts w:hint="default" w:ascii="楷体" w:hAnsi="楷体" w:eastAsia="楷体"/>
          <w:color w:val="000000" w:themeColor="text1"/>
          <w:szCs w:val="28"/>
          <w14:textFill>
            <w14:solidFill>
              <w14:schemeClr w14:val="tx1"/>
            </w14:solidFill>
          </w14:textFill>
        </w:rPr>
        <w:t>“住商不动产”</w:t>
      </w:r>
      <w:r>
        <w:rPr>
          <w:rFonts w:hint="default" w:eastAsia="楷体"/>
          <w:color w:val="000000" w:themeColor="text1"/>
          <w:szCs w:val="28"/>
          <w14:textFill>
            <w14:solidFill>
              <w14:schemeClr w14:val="tx1"/>
            </w14:solidFill>
          </w14:textFill>
        </w:rPr>
        <w:t>品牌经营的门店）；</w:t>
      </w:r>
    </w:p>
    <w:p w14:paraId="340FD537">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广州珍房源置业有限公司（市中介协会会员单位）；</w:t>
      </w:r>
    </w:p>
    <w:p w14:paraId="3726C84C">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广州德佑科技服务有限公司（包含旗下广州市所有加盟并使用</w:t>
      </w:r>
      <w:r>
        <w:rPr>
          <w:rFonts w:hint="default" w:ascii="楷体" w:hAnsi="楷体" w:eastAsia="楷体"/>
          <w:color w:val="000000" w:themeColor="text1"/>
          <w:szCs w:val="28"/>
          <w14:textFill>
            <w14:solidFill>
              <w14:schemeClr w14:val="tx1"/>
            </w14:solidFill>
          </w14:textFill>
        </w:rPr>
        <w:t>“德佑”</w:t>
      </w:r>
      <w:r>
        <w:rPr>
          <w:rFonts w:hint="default" w:eastAsia="楷体"/>
          <w:color w:val="000000" w:themeColor="text1"/>
          <w:szCs w:val="28"/>
          <w14:textFill>
            <w14:solidFill>
              <w14:schemeClr w14:val="tx1"/>
            </w14:solidFill>
          </w14:textFill>
        </w:rPr>
        <w:t>品牌经营的门店）；</w:t>
      </w:r>
    </w:p>
    <w:p w14:paraId="6AF22A9A">
      <w:pPr>
        <w:pStyle w:val="26"/>
        <w:numPr>
          <w:ilvl w:val="0"/>
          <w:numId w:val="1"/>
        </w:numPr>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广州市祈安地产代理有限公司（市中介协会会员单位，包含旗下所有加盟使用</w:t>
      </w:r>
      <w:r>
        <w:rPr>
          <w:rFonts w:hint="default" w:ascii="楷体" w:hAnsi="楷体" w:eastAsia="楷体"/>
          <w:color w:val="000000" w:themeColor="text1"/>
          <w:szCs w:val="28"/>
          <w14:textFill>
            <w14:solidFill>
              <w14:schemeClr w14:val="tx1"/>
            </w14:solidFill>
          </w14:textFill>
        </w:rPr>
        <w:t>“祈安地产”</w:t>
      </w:r>
      <w:r>
        <w:rPr>
          <w:rFonts w:hint="default" w:eastAsia="楷体"/>
          <w:color w:val="000000" w:themeColor="text1"/>
          <w:szCs w:val="28"/>
          <w14:textFill>
            <w14:solidFill>
              <w14:schemeClr w14:val="tx1"/>
            </w14:solidFill>
          </w14:textFill>
        </w:rPr>
        <w:t>品牌经营的门店）。</w:t>
      </w:r>
    </w:p>
    <w:p w14:paraId="3632F4C6">
      <w:pPr>
        <w:pStyle w:val="26"/>
        <w:spacing w:line="360" w:lineRule="auto"/>
        <w:rPr>
          <w:rFonts w:hint="default" w:eastAsia="楷体"/>
          <w:color w:val="000000" w:themeColor="text1"/>
          <w:szCs w:val="28"/>
          <w14:textFill>
            <w14:solidFill>
              <w14:schemeClr w14:val="tx1"/>
            </w14:solidFill>
          </w14:textFill>
        </w:rPr>
      </w:pPr>
      <w:r>
        <w:rPr>
          <w:rFonts w:hint="default" w:eastAsia="楷体"/>
          <w:color w:val="000000" w:themeColor="text1"/>
          <w:szCs w:val="28"/>
          <w14:textFill>
            <w14:solidFill>
              <w14:schemeClr w14:val="tx1"/>
            </w14:solidFill>
          </w14:textFill>
        </w:rPr>
        <w:t>（注：第1-9家为续签，第10-14为新签署。）</w:t>
      </w:r>
    </w:p>
    <w:p w14:paraId="2EAC962F">
      <w:pPr>
        <w:pStyle w:val="3"/>
        <w:spacing w:before="240" w:after="0" w:line="360" w:lineRule="auto"/>
        <w:ind w:firstLine="562" w:firstLineChars="200"/>
        <w:rPr>
          <w:rFonts w:ascii="Times New Roman" w:hAnsi="Times New Roman" w:eastAsia="黑体" w:cs="Times New Roman"/>
          <w:color w:val="000000" w:themeColor="text1"/>
          <w:sz w:val="28"/>
          <w:szCs w:val="28"/>
          <w14:textFill>
            <w14:solidFill>
              <w14:schemeClr w14:val="tx1"/>
            </w14:solidFill>
          </w14:textFill>
        </w:rPr>
      </w:pPr>
      <w:bookmarkStart w:id="358" w:name="_Toc192845469"/>
      <w:r>
        <w:rPr>
          <w:rFonts w:ascii="Times New Roman" w:hAnsi="Times New Roman" w:eastAsia="黑体" w:cs="Times New Roman"/>
          <w:color w:val="000000" w:themeColor="text1"/>
          <w:sz w:val="28"/>
          <w:szCs w:val="28"/>
          <w14:textFill>
            <w14:solidFill>
              <w14:schemeClr w14:val="tx1"/>
            </w14:solidFill>
          </w14:textFill>
        </w:rPr>
        <w:t>（四）开展房产交易知识便民咨询宣传月活动</w:t>
      </w:r>
      <w:bookmarkEnd w:id="358"/>
    </w:p>
    <w:p w14:paraId="4D9CA391">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在市交监中心和花都、黄埔、南沙、白云、增城等区房地产行政主管部门的支持与指导下，从2024年3月7日起，市中介协会组织40余家会员</w:t>
      </w:r>
      <w:r>
        <w:rPr>
          <w:rFonts w:ascii="Times New Roman" w:hAnsi="Times New Roman" w:eastAsia="仿宋_GB2312"/>
          <w:color w:val="000000" w:themeColor="text1"/>
          <w:kern w:val="0"/>
          <w:sz w:val="32"/>
          <w:szCs w:val="32"/>
          <w14:textFill>
            <w14:solidFill>
              <w14:schemeClr w14:val="tx1"/>
            </w14:solidFill>
          </w14:textFill>
        </w:rPr>
        <w:t>单位</w:t>
      </w:r>
      <w:r>
        <w:rPr>
          <w:rFonts w:ascii="Times New Roman" w:hAnsi="Times New Roman" w:eastAsia="仿宋_GB2312"/>
          <w:color w:val="000000" w:themeColor="text1"/>
          <w:kern w:val="0"/>
          <w:sz w:val="32"/>
          <w:szCs w:val="32"/>
          <w:lang w:val="zh-TW"/>
          <w14:textFill>
            <w14:solidFill>
              <w14:schemeClr w14:val="tx1"/>
            </w14:solidFill>
          </w14:textFill>
        </w:rPr>
        <w:t>开展了为期一个月的房产交易知识便民咨询活动。活动派发了《二手房（住宅）交易重点环节注意事项》《租房避坑指南》《信用档案查询指引》《向经纪人转款风险提示》及《阳光承诺活动》等有关房地产交易知识的宣传资料，并现场为市民解答二手房买卖及房屋租赁的政策和房地产交易相关的咨询，引导市民选择正规备案经营的中介机构进行房屋租赁和买卖，同时展示市中介协会会员单位诚信自律、规范执业的服务形象。宣传月活动在全市11个行政区共计开展57场便民咨询，接待市民群众约3000人次。</w:t>
      </w:r>
    </w:p>
    <w:p w14:paraId="7608E1CA">
      <w:pPr>
        <w:pStyle w:val="3"/>
        <w:spacing w:before="240" w:after="0" w:line="360" w:lineRule="auto"/>
        <w:ind w:firstLine="562" w:firstLineChars="200"/>
        <w:rPr>
          <w:rFonts w:ascii="Times New Roman" w:hAnsi="Times New Roman" w:eastAsia="黑体" w:cs="Times New Roman"/>
          <w:color w:val="000000" w:themeColor="text1"/>
          <w:sz w:val="28"/>
          <w:szCs w:val="28"/>
          <w14:textFill>
            <w14:solidFill>
              <w14:schemeClr w14:val="tx1"/>
            </w14:solidFill>
          </w14:textFill>
        </w:rPr>
      </w:pPr>
      <w:bookmarkStart w:id="359" w:name="_Toc192845470"/>
      <w:r>
        <w:rPr>
          <w:rFonts w:ascii="Times New Roman" w:hAnsi="Times New Roman" w:eastAsia="黑体" w:cs="Times New Roman"/>
          <w:color w:val="000000" w:themeColor="text1"/>
          <w:sz w:val="28"/>
          <w:szCs w:val="28"/>
          <w14:textFill>
            <w14:solidFill>
              <w14:schemeClr w14:val="tx1"/>
            </w14:solidFill>
          </w14:textFill>
        </w:rPr>
        <w:t>（五）开展房地产中介行业自律主题宣传活动</w:t>
      </w:r>
      <w:bookmarkEnd w:id="359"/>
    </w:p>
    <w:p w14:paraId="3517DD1D">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为进一步规范中介机构及从业人员执业行为，市中介协会在2024年开展了三期房地产中介行业自律主题宣传活动，活动主题包括《向经纪人转款的风险提示》《两证一委查册表 一个都不能少》《房地产中介机构服务好不好 您的评价很重要！》。活动期间，通过在多家大中型中介机构门店醒目位置张贴主题海报、派发主题宣传单、公司微信公众号、视频号、抖音号以及动员从业人员转发主题视频等方式，提高从业主体规范执业意识，共同树立行业自律形象，维护行业良好秩序。</w:t>
      </w:r>
    </w:p>
    <w:bookmarkEnd w:id="355"/>
    <w:p w14:paraId="070092BC">
      <w:pPr>
        <w:pStyle w:val="3"/>
        <w:spacing w:before="120" w:beforeLines="50" w:after="120" w:afterLines="50" w:line="360" w:lineRule="auto"/>
        <w:ind w:firstLine="562" w:firstLineChars="200"/>
        <w:rPr>
          <w:rFonts w:ascii="Times New Roman" w:hAnsi="Times New Roman" w:eastAsia="黑体" w:cs="Times New Roman"/>
          <w:color w:val="000000" w:themeColor="text1"/>
          <w:sz w:val="28"/>
          <w:szCs w:val="28"/>
          <w14:textFill>
            <w14:solidFill>
              <w14:schemeClr w14:val="tx1"/>
            </w14:solidFill>
          </w14:textFill>
        </w:rPr>
      </w:pPr>
      <w:bookmarkStart w:id="360" w:name="_Toc64643533"/>
      <w:bookmarkStart w:id="361" w:name="_Toc192845471"/>
      <w:bookmarkStart w:id="362" w:name="_Toc98168331"/>
      <w:r>
        <w:rPr>
          <w:rFonts w:ascii="Times New Roman" w:hAnsi="Times New Roman" w:eastAsia="黑体" w:cs="Times New Roman"/>
          <w:color w:val="000000" w:themeColor="text1"/>
          <w:sz w:val="28"/>
          <w:szCs w:val="28"/>
          <w14:textFill>
            <w14:solidFill>
              <w14:schemeClr w14:val="tx1"/>
            </w14:solidFill>
          </w14:textFill>
        </w:rPr>
        <w:t>（六）持续推动行业信用评价数据</w:t>
      </w:r>
      <w:bookmarkEnd w:id="360"/>
      <w:r>
        <w:rPr>
          <w:rFonts w:ascii="Times New Roman" w:hAnsi="Times New Roman" w:eastAsia="黑体" w:cs="Times New Roman"/>
          <w:color w:val="000000" w:themeColor="text1"/>
          <w:sz w:val="28"/>
          <w:szCs w:val="28"/>
          <w14:textFill>
            <w14:solidFill>
              <w14:schemeClr w14:val="tx1"/>
            </w14:solidFill>
          </w14:textFill>
        </w:rPr>
        <w:t>共享</w:t>
      </w:r>
      <w:bookmarkEnd w:id="361"/>
      <w:bookmarkEnd w:id="362"/>
    </w:p>
    <w:p w14:paraId="1EE412F7">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为持续加强房地产中介信用档案的推广应用，方便广大中介机构及市民消费者及时查询和了解中介机构和从业人员的信用状况，市中介协会每月定期</w:t>
      </w:r>
      <w:r>
        <w:rPr>
          <w:rFonts w:hint="eastAsia" w:ascii="Times New Roman" w:hAnsi="Times New Roman" w:eastAsia="仿宋_GB2312"/>
          <w:color w:val="000000" w:themeColor="text1"/>
          <w:kern w:val="0"/>
          <w:sz w:val="32"/>
          <w:szCs w:val="32"/>
          <w:lang w:val="zh-TW"/>
          <w14:textFill>
            <w14:solidFill>
              <w14:schemeClr w14:val="tx1"/>
            </w14:solidFill>
          </w14:textFill>
        </w:rPr>
        <w:t>宣传</w:t>
      </w:r>
      <w:r>
        <w:rPr>
          <w:rFonts w:ascii="Times New Roman" w:hAnsi="Times New Roman" w:eastAsia="仿宋_GB2312"/>
          <w:color w:val="000000" w:themeColor="text1"/>
          <w:kern w:val="0"/>
          <w:sz w:val="32"/>
          <w:szCs w:val="32"/>
          <w:lang w:val="zh-TW"/>
          <w14:textFill>
            <w14:solidFill>
              <w14:schemeClr w14:val="tx1"/>
            </w14:solidFill>
          </w14:textFill>
        </w:rPr>
        <w:t>《行业不良行为名单应用指引》《广州市房地产中介从业人员信用信息卡办理指引》和《房地产中介信用档案使用指引》，方便广大中介机构及市民消费者及时查询和了解中介机构和从业人员的信用状况。</w:t>
      </w:r>
    </w:p>
    <w:p w14:paraId="03902250">
      <w:pPr>
        <w:pStyle w:val="26"/>
        <w:ind w:firstLine="0"/>
        <w:jc w:val="center"/>
        <w:rPr>
          <w:rFonts w:hint="default"/>
        </w:rPr>
      </w:pPr>
      <w:r>
        <w:rPr>
          <w:rFonts w:hint="default"/>
        </w:rPr>
        <w:drawing>
          <wp:inline distT="0" distB="0" distL="0" distR="0">
            <wp:extent cx="4961890" cy="2208530"/>
            <wp:effectExtent l="0" t="0" r="1016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4"/>
                    <a:srcRect l="1742" t="27577" r="6676"/>
                    <a:stretch>
                      <a:fillRect/>
                    </a:stretch>
                  </pic:blipFill>
                  <pic:spPr>
                    <a:xfrm>
                      <a:off x="0" y="0"/>
                      <a:ext cx="4961890" cy="2208530"/>
                    </a:xfrm>
                    <a:prstGeom prst="rect">
                      <a:avLst/>
                    </a:prstGeom>
                    <a:ln>
                      <a:noFill/>
                    </a:ln>
                  </pic:spPr>
                </pic:pic>
              </a:graphicData>
            </a:graphic>
          </wp:inline>
        </w:drawing>
      </w:r>
    </w:p>
    <w:p w14:paraId="191006F0">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图1</w:t>
      </w:r>
      <w:r>
        <w:rPr>
          <w:rFonts w:hint="eastAsia" w:ascii="Times New Roman" w:hAnsi="Times New Roman"/>
          <w:color w:val="000000" w:themeColor="text1"/>
          <w:sz w:val="24"/>
          <w14:textFill>
            <w14:solidFill>
              <w14:schemeClr w14:val="tx1"/>
            </w14:solidFill>
          </w14:textFill>
        </w:rPr>
        <w:t>8</w:t>
      </w:r>
      <w:r>
        <w:rPr>
          <w:rFonts w:ascii="Times New Roman" w:hAnsi="Times New Roman"/>
          <w:color w:val="000000" w:themeColor="text1"/>
          <w:sz w:val="24"/>
          <w14:textFill>
            <w14:solidFill>
              <w14:schemeClr w14:val="tx1"/>
            </w14:solidFill>
          </w14:textFill>
        </w:rPr>
        <w:t xml:space="preserve">  线上房源信息发布渠道展示从业人员信用信息</w:t>
      </w:r>
    </w:p>
    <w:p w14:paraId="7FDB7D13">
      <w:pPr>
        <w:pStyle w:val="26"/>
        <w:ind w:firstLine="0"/>
        <w:jc w:val="center"/>
        <w:rPr>
          <w:rFonts w:hint="default"/>
        </w:rPr>
      </w:pPr>
      <w:r>
        <w:rPr>
          <w:rFonts w:hint="default"/>
        </w:rPr>
        <w:drawing>
          <wp:inline distT="0" distB="0" distL="0" distR="0">
            <wp:extent cx="4857750" cy="2618105"/>
            <wp:effectExtent l="0" t="0" r="0" b="1079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55"/>
                    <a:srcRect l="9420" t="7108" r="6519" b="11274"/>
                    <a:stretch>
                      <a:fillRect/>
                    </a:stretch>
                  </pic:blipFill>
                  <pic:spPr>
                    <a:xfrm>
                      <a:off x="0" y="0"/>
                      <a:ext cx="4857750" cy="2618105"/>
                    </a:xfrm>
                    <a:prstGeom prst="rect">
                      <a:avLst/>
                    </a:prstGeom>
                    <a:ln>
                      <a:noFill/>
                    </a:ln>
                  </pic:spPr>
                </pic:pic>
              </a:graphicData>
            </a:graphic>
          </wp:inline>
        </w:drawing>
      </w:r>
    </w:p>
    <w:p w14:paraId="6BA5587E">
      <w:pPr>
        <w:spacing w:line="360" w:lineRule="auto"/>
        <w:jc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图1</w:t>
      </w:r>
      <w:r>
        <w:rPr>
          <w:rFonts w:hint="eastAsia" w:ascii="Times New Roman" w:hAnsi="Times New Roman"/>
          <w:color w:val="000000" w:themeColor="text1"/>
          <w:sz w:val="24"/>
          <w14:textFill>
            <w14:solidFill>
              <w14:schemeClr w14:val="tx1"/>
            </w14:solidFill>
          </w14:textFill>
        </w:rPr>
        <w:t>9</w:t>
      </w:r>
      <w:r>
        <w:rPr>
          <w:rFonts w:ascii="Times New Roman" w:hAnsi="Times New Roman"/>
          <w:color w:val="000000" w:themeColor="text1"/>
          <w:sz w:val="24"/>
          <w14:textFill>
            <w14:solidFill>
              <w14:schemeClr w14:val="tx1"/>
            </w14:solidFill>
          </w14:textFill>
        </w:rPr>
        <w:t xml:space="preserve">  线上房源信息发布渠道展示从业人员信用信息</w:t>
      </w:r>
    </w:p>
    <w:p w14:paraId="6571B369">
      <w:pPr>
        <w:pStyle w:val="3"/>
        <w:spacing w:before="120" w:beforeLines="50" w:after="120" w:afterLines="50" w:line="360" w:lineRule="auto"/>
        <w:ind w:firstLine="562" w:firstLineChars="200"/>
        <w:rPr>
          <w:rFonts w:ascii="Times New Roman" w:hAnsi="Times New Roman" w:eastAsia="黑体" w:cs="Times New Roman"/>
          <w:bCs w:val="0"/>
          <w:color w:val="000000" w:themeColor="text1"/>
          <w:sz w:val="28"/>
          <w:szCs w:val="28"/>
          <w14:textFill>
            <w14:solidFill>
              <w14:schemeClr w14:val="tx1"/>
            </w14:solidFill>
          </w14:textFill>
        </w:rPr>
      </w:pPr>
      <w:bookmarkStart w:id="363" w:name="_Toc192845472"/>
      <w:bookmarkStart w:id="364" w:name="_Toc64643534"/>
      <w:bookmarkStart w:id="365" w:name="_Toc98168332"/>
      <w:r>
        <w:rPr>
          <w:rFonts w:ascii="Times New Roman" w:hAnsi="Times New Roman" w:eastAsia="黑体" w:cs="Times New Roman"/>
          <w:color w:val="000000" w:themeColor="text1"/>
          <w:sz w:val="28"/>
          <w:szCs w:val="28"/>
          <w14:textFill>
            <w14:solidFill>
              <w14:schemeClr w14:val="tx1"/>
            </w14:solidFill>
          </w14:textFill>
        </w:rPr>
        <w:t>（七）通过同业监督机制净化行业用人环境</w:t>
      </w:r>
      <w:bookmarkEnd w:id="363"/>
      <w:bookmarkEnd w:id="364"/>
      <w:bookmarkEnd w:id="365"/>
    </w:p>
    <w:p w14:paraId="3E72947E">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为提高从业人员规范执业的服务意识，净化行业用人环境。市中介协会于2012年4月发布实施《广州市房地产中介行业</w:t>
      </w:r>
      <w:r>
        <w:rPr>
          <w:rFonts w:hint="eastAsia" w:ascii="仿宋_GB2312" w:hAnsi="Times New Roman" w:eastAsia="仿宋_GB2312"/>
          <w:color w:val="000000" w:themeColor="text1"/>
          <w:kern w:val="0"/>
          <w:sz w:val="32"/>
          <w:szCs w:val="32"/>
          <w:lang w:val="zh-TW"/>
          <w14:textFill>
            <w14:solidFill>
              <w14:schemeClr w14:val="tx1"/>
            </w14:solidFill>
          </w14:textFill>
        </w:rPr>
        <w:t>“严重失信经纪人名单”</w:t>
      </w:r>
      <w:r>
        <w:rPr>
          <w:rFonts w:ascii="Times New Roman" w:hAnsi="Times New Roman" w:eastAsia="仿宋_GB2312"/>
          <w:color w:val="000000" w:themeColor="text1"/>
          <w:kern w:val="0"/>
          <w:sz w:val="32"/>
          <w:szCs w:val="32"/>
          <w:lang w:val="zh-TW"/>
          <w14:textFill>
            <w14:solidFill>
              <w14:schemeClr w14:val="tx1"/>
            </w14:solidFill>
          </w14:textFill>
        </w:rPr>
        <w:t>管理办法》，并于2013年初，结合实践情况对该办法作了进一步修订完善，同年4月发布了</w:t>
      </w:r>
      <w:bookmarkStart w:id="366" w:name="OLE_LINK57"/>
      <w:bookmarkStart w:id="367" w:name="OLE_LINK58"/>
      <w:r>
        <w:rPr>
          <w:rFonts w:ascii="Times New Roman" w:hAnsi="Times New Roman" w:eastAsia="仿宋_GB2312"/>
          <w:color w:val="000000" w:themeColor="text1"/>
          <w:kern w:val="0"/>
          <w:sz w:val="32"/>
          <w:szCs w:val="32"/>
          <w:lang w:val="zh-TW"/>
          <w14:textFill>
            <w14:solidFill>
              <w14:schemeClr w14:val="tx1"/>
            </w14:solidFill>
          </w14:textFill>
        </w:rPr>
        <w:t>《广州市房地产中介行业不良行为管理办法》</w:t>
      </w:r>
      <w:bookmarkEnd w:id="366"/>
      <w:bookmarkEnd w:id="367"/>
      <w:r>
        <w:rPr>
          <w:rFonts w:ascii="Times New Roman" w:hAnsi="Times New Roman" w:eastAsia="仿宋_GB2312"/>
          <w:color w:val="000000" w:themeColor="text1"/>
          <w:kern w:val="0"/>
          <w:sz w:val="32"/>
          <w:szCs w:val="32"/>
          <w:lang w:val="zh-TW"/>
          <w14:textFill>
            <w14:solidFill>
              <w14:schemeClr w14:val="tx1"/>
            </w14:solidFill>
          </w14:textFill>
        </w:rPr>
        <w:t>（附件</w:t>
      </w:r>
      <w:r>
        <w:rPr>
          <w:rFonts w:hint="eastAsia" w:ascii="Times New Roman" w:hAnsi="Times New Roman" w:eastAsia="仿宋_GB2312"/>
          <w:color w:val="000000" w:themeColor="text1"/>
          <w:kern w:val="0"/>
          <w:sz w:val="32"/>
          <w:szCs w:val="32"/>
          <w:lang w:val="zh-TW"/>
          <w14:textFill>
            <w14:solidFill>
              <w14:schemeClr w14:val="tx1"/>
            </w14:solidFill>
          </w14:textFill>
        </w:rPr>
        <w:t>3</w:t>
      </w:r>
      <w:r>
        <w:rPr>
          <w:rFonts w:ascii="Times New Roman" w:hAnsi="Times New Roman" w:eastAsia="仿宋_GB2312"/>
          <w:color w:val="000000" w:themeColor="text1"/>
          <w:kern w:val="0"/>
          <w:sz w:val="32"/>
          <w:szCs w:val="32"/>
          <w:lang w:val="zh-TW"/>
          <w14:textFill>
            <w14:solidFill>
              <w14:schemeClr w14:val="tx1"/>
            </w14:solidFill>
          </w14:textFill>
        </w:rPr>
        <w:t>为2019年修订版）。办法推出后效果总体良好，截至目前，市中介协会已在行业内部公开</w:t>
      </w:r>
      <w:bookmarkStart w:id="368" w:name="OLE_LINK67"/>
      <w:bookmarkStart w:id="369" w:name="OLE_LINK63"/>
      <w:bookmarkStart w:id="370" w:name="OLE_LINK64"/>
      <w:bookmarkStart w:id="371" w:name="OLE_LINK56"/>
      <w:bookmarkStart w:id="372" w:name="OLE_LINK55"/>
      <w:bookmarkStart w:id="373" w:name="OLE_LINK65"/>
      <w:r>
        <w:rPr>
          <w:rFonts w:ascii="Times New Roman" w:hAnsi="Times New Roman" w:eastAsia="仿宋_GB2312"/>
          <w:color w:val="000000" w:themeColor="text1"/>
          <w:kern w:val="0"/>
          <w:sz w:val="32"/>
          <w:szCs w:val="32"/>
          <w:lang w:val="zh-TW"/>
          <w14:textFill>
            <w14:solidFill>
              <w14:schemeClr w14:val="tx1"/>
            </w14:solidFill>
          </w14:textFill>
        </w:rPr>
        <w:t>不良行为人员</w:t>
      </w:r>
      <w:bookmarkEnd w:id="368"/>
      <w:bookmarkEnd w:id="369"/>
      <w:bookmarkEnd w:id="370"/>
      <w:r>
        <w:rPr>
          <w:rFonts w:ascii="Times New Roman" w:hAnsi="Times New Roman" w:eastAsia="仿宋_GB2312"/>
          <w:color w:val="000000" w:themeColor="text1"/>
          <w:kern w:val="0"/>
          <w:sz w:val="32"/>
          <w:szCs w:val="32"/>
          <w:lang w:val="zh-TW"/>
          <w14:textFill>
            <w14:solidFill>
              <w14:schemeClr w14:val="tx1"/>
            </w14:solidFill>
          </w14:textFill>
        </w:rPr>
        <w:t>记录</w:t>
      </w:r>
      <w:bookmarkEnd w:id="371"/>
      <w:bookmarkEnd w:id="372"/>
      <w:bookmarkEnd w:id="373"/>
      <w:r>
        <w:rPr>
          <w:rFonts w:ascii="Times New Roman" w:hAnsi="Times New Roman" w:eastAsia="仿宋_GB2312"/>
          <w:color w:val="000000" w:themeColor="text1"/>
          <w:kern w:val="0"/>
          <w:sz w:val="32"/>
          <w:szCs w:val="32"/>
          <w:lang w:val="zh-TW"/>
          <w14:textFill>
            <w14:solidFill>
              <w14:schemeClr w14:val="tx1"/>
            </w14:solidFill>
          </w14:textFill>
        </w:rPr>
        <w:t>479条。</w:t>
      </w:r>
    </w:p>
    <w:p w14:paraId="303BDEB0">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为建立健全行业自律公约和职业道德准则，树立行业组织权威性，打破行政区域界限，市中介协会于2018年5月与深圳、东莞、惠州、佛山等地协会联合签署《行业不良行为名单互认备忘录》，五地协会互相交换、通报和承认各自建立的</w:t>
      </w:r>
      <w:r>
        <w:rPr>
          <w:rFonts w:hint="eastAsia" w:ascii="仿宋_GB2312" w:hAnsi="Times New Roman" w:eastAsia="仿宋_GB2312"/>
          <w:color w:val="000000" w:themeColor="text1"/>
          <w:kern w:val="0"/>
          <w:sz w:val="32"/>
          <w:szCs w:val="32"/>
          <w:lang w:val="zh-TW"/>
          <w14:textFill>
            <w14:solidFill>
              <w14:schemeClr w14:val="tx1"/>
            </w14:solidFill>
          </w14:textFill>
        </w:rPr>
        <w:t>“行业不良行为名单”</w:t>
      </w:r>
      <w:r>
        <w:rPr>
          <w:rFonts w:ascii="Times New Roman" w:hAnsi="Times New Roman" w:eastAsia="仿宋_GB2312"/>
          <w:color w:val="000000" w:themeColor="text1"/>
          <w:kern w:val="0"/>
          <w:sz w:val="32"/>
          <w:szCs w:val="32"/>
          <w:lang w:val="zh-TW"/>
          <w14:textFill>
            <w14:solidFill>
              <w14:schemeClr w14:val="tx1"/>
            </w14:solidFill>
          </w14:textFill>
        </w:rPr>
        <w:t>数据，并依据各自协会的规定，对被纳入行业不良行为名单的中介机构、从业人员，进行禁业限制、公示、行业自律惩戒等处理，实现联合惩戒。自签署备忘录以来，五地协会相互通报了十二批行业不良行为名单，至今五地协会累计发布420条违规中介机构/人员信息。</w:t>
      </w:r>
    </w:p>
    <w:p w14:paraId="10A2E216">
      <w:pPr>
        <w:pStyle w:val="2"/>
        <w:spacing w:before="120" w:beforeLines="50" w:after="120" w:afterLines="50" w:line="360" w:lineRule="auto"/>
        <w:ind w:firstLine="643" w:firstLineChars="200"/>
        <w:rPr>
          <w:rFonts w:ascii="Times New Roman" w:hAnsi="Times New Roman" w:eastAsia="黑体"/>
          <w:bCs w:val="0"/>
          <w:color w:val="000000" w:themeColor="text1"/>
          <w:sz w:val="32"/>
          <w:szCs w:val="24"/>
          <w14:textFill>
            <w14:solidFill>
              <w14:schemeClr w14:val="tx1"/>
            </w14:solidFill>
          </w14:textFill>
        </w:rPr>
      </w:pPr>
      <w:bookmarkStart w:id="374" w:name="_Toc98168333"/>
      <w:bookmarkStart w:id="375" w:name="_Toc6389801"/>
      <w:bookmarkStart w:id="376" w:name="_Toc192845473"/>
      <w:r>
        <w:rPr>
          <w:rFonts w:ascii="Times New Roman" w:hAnsi="Times New Roman" w:eastAsia="黑体"/>
          <w:bCs w:val="0"/>
          <w:color w:val="000000" w:themeColor="text1"/>
          <w:sz w:val="32"/>
          <w:szCs w:val="24"/>
          <w14:textFill>
            <w14:solidFill>
              <w14:schemeClr w14:val="tx1"/>
            </w14:solidFill>
          </w14:textFill>
        </w:rPr>
        <w:t>十、下一步工作</w:t>
      </w:r>
      <w:bookmarkEnd w:id="374"/>
      <w:bookmarkEnd w:id="375"/>
      <w:r>
        <w:rPr>
          <w:rFonts w:ascii="Times New Roman" w:hAnsi="Times New Roman" w:eastAsia="黑体"/>
          <w:bCs w:val="0"/>
          <w:color w:val="000000" w:themeColor="text1"/>
          <w:sz w:val="32"/>
          <w:szCs w:val="24"/>
          <w14:textFill>
            <w14:solidFill>
              <w14:schemeClr w14:val="tx1"/>
            </w14:solidFill>
          </w14:textFill>
        </w:rPr>
        <w:t>计划</w:t>
      </w:r>
      <w:bookmarkEnd w:id="376"/>
    </w:p>
    <w:p w14:paraId="2CA28F31">
      <w:pPr>
        <w:spacing w:line="560" w:lineRule="exact"/>
        <w:ind w:firstLine="640"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ascii="Times New Roman" w:hAnsi="Times New Roman" w:eastAsia="仿宋_GB2312"/>
          <w:color w:val="000000" w:themeColor="text1"/>
          <w:kern w:val="0"/>
          <w:sz w:val="32"/>
          <w:szCs w:val="32"/>
          <w:lang w:val="zh-TW"/>
          <w14:textFill>
            <w14:solidFill>
              <w14:schemeClr w14:val="tx1"/>
            </w14:solidFill>
          </w14:textFill>
        </w:rPr>
        <w:t>在政府主管部门和行业各方共同努力下，我市已</w:t>
      </w:r>
      <w:r>
        <w:rPr>
          <w:rFonts w:hint="eastAsia" w:ascii="Times New Roman" w:hAnsi="Times New Roman" w:eastAsia="仿宋_GB2312"/>
          <w:color w:val="000000" w:themeColor="text1"/>
          <w:kern w:val="0"/>
          <w:sz w:val="32"/>
          <w:szCs w:val="32"/>
          <w:lang w:val="zh-TW"/>
          <w14:textFill>
            <w14:solidFill>
              <w14:schemeClr w14:val="tx1"/>
            </w14:solidFill>
          </w14:textFill>
        </w:rPr>
        <w:t>基本</w:t>
      </w:r>
      <w:r>
        <w:rPr>
          <w:rFonts w:ascii="Times New Roman" w:hAnsi="Times New Roman" w:eastAsia="仿宋_GB2312"/>
          <w:color w:val="000000" w:themeColor="text1"/>
          <w:kern w:val="0"/>
          <w:sz w:val="32"/>
          <w:szCs w:val="32"/>
          <w:lang w:val="zh-TW"/>
          <w14:textFill>
            <w14:solidFill>
              <w14:schemeClr w14:val="tx1"/>
            </w14:solidFill>
          </w14:textFill>
        </w:rPr>
        <w:t>形成</w:t>
      </w:r>
      <w:r>
        <w:rPr>
          <w:rFonts w:hint="eastAsia" w:ascii="仿宋_GB2312" w:hAnsi="Times New Roman" w:eastAsia="仿宋_GB2312"/>
          <w:color w:val="000000" w:themeColor="text1"/>
          <w:kern w:val="0"/>
          <w:sz w:val="32"/>
          <w:szCs w:val="32"/>
          <w:lang w:val="zh-TW"/>
          <w14:textFill>
            <w14:solidFill>
              <w14:schemeClr w14:val="tx1"/>
            </w14:solidFill>
          </w14:textFill>
        </w:rPr>
        <w:t>“信用建档</w:t>
      </w:r>
      <w:bookmarkStart w:id="377" w:name="OLE_LINK43"/>
      <w:bookmarkStart w:id="378" w:name="OLE_LINK44"/>
      <w:r>
        <w:rPr>
          <w:rFonts w:hint="eastAsia" w:ascii="仿宋_GB2312" w:hAnsi="Times New Roman" w:eastAsia="仿宋_GB2312"/>
          <w:color w:val="000000" w:themeColor="text1"/>
          <w:kern w:val="0"/>
          <w:sz w:val="32"/>
          <w:szCs w:val="32"/>
          <w:lang w:val="zh-TW"/>
          <w14:textFill>
            <w14:solidFill>
              <w14:schemeClr w14:val="tx1"/>
            </w14:solidFill>
          </w14:textFill>
        </w:rPr>
        <w:t>—</w:t>
      </w:r>
      <w:bookmarkEnd w:id="377"/>
      <w:bookmarkEnd w:id="378"/>
      <w:r>
        <w:rPr>
          <w:rFonts w:hint="eastAsia" w:ascii="仿宋_GB2312" w:hAnsi="Times New Roman" w:eastAsia="仿宋_GB2312"/>
          <w:color w:val="000000" w:themeColor="text1"/>
          <w:kern w:val="0"/>
          <w:sz w:val="32"/>
          <w:szCs w:val="32"/>
          <w:lang w:val="zh-TW"/>
          <w14:textFill>
            <w14:solidFill>
              <w14:schemeClr w14:val="tx1"/>
            </w14:solidFill>
          </w14:textFill>
        </w:rPr>
        <w:t>行为监管—评价公示—联合奖惩”</w:t>
      </w:r>
      <w:r>
        <w:rPr>
          <w:rFonts w:ascii="Times New Roman" w:hAnsi="Times New Roman" w:eastAsia="仿宋_GB2312"/>
          <w:color w:val="000000" w:themeColor="text1"/>
          <w:kern w:val="0"/>
          <w:sz w:val="32"/>
          <w:szCs w:val="32"/>
          <w:lang w:val="zh-TW"/>
          <w14:textFill>
            <w14:solidFill>
              <w14:schemeClr w14:val="tx1"/>
            </w14:solidFill>
          </w14:textFill>
        </w:rPr>
        <w:t>的房地产中介信用管理体系。消费者在房产交易环节查阅中介信用档案的意识进一步提升，银行、按揭公司等金融机构在选择中介机构合作开展业务前也将信用信息作为重要考量因素，这些都使得更多的中介机构和从业人员愈加重视自身信用的保持与维护，信用约束机制对规范市场秩序的作用持续显现。下一步，</w:t>
      </w:r>
      <w:r>
        <w:rPr>
          <w:rFonts w:hint="eastAsia" w:ascii="Times New Roman" w:hAnsi="Times New Roman" w:eastAsia="仿宋_GB2312"/>
          <w:color w:val="000000" w:themeColor="text1"/>
          <w:kern w:val="0"/>
          <w:sz w:val="32"/>
          <w:szCs w:val="32"/>
          <w14:textFill>
            <w14:solidFill>
              <w14:schemeClr w14:val="tx1"/>
            </w14:solidFill>
          </w14:textFill>
        </w:rPr>
        <w:t>我市</w:t>
      </w:r>
      <w:r>
        <w:rPr>
          <w:rFonts w:ascii="Times New Roman" w:hAnsi="Times New Roman" w:eastAsia="仿宋_GB2312"/>
          <w:color w:val="000000" w:themeColor="text1"/>
          <w:kern w:val="0"/>
          <w:sz w:val="32"/>
          <w:szCs w:val="32"/>
          <w:lang w:val="zh-TW"/>
          <w14:textFill>
            <w14:solidFill>
              <w14:schemeClr w14:val="tx1"/>
            </w14:solidFill>
          </w14:textFill>
        </w:rPr>
        <w:t>将继续完善房地产中介行业信用评价体系</w:t>
      </w:r>
      <w:r>
        <w:rPr>
          <w:rFonts w:hint="eastAsia" w:ascii="Times New Roman" w:hAnsi="Times New Roman" w:eastAsia="仿宋_GB2312"/>
          <w:color w:val="000000" w:themeColor="text1"/>
          <w:kern w:val="0"/>
          <w:sz w:val="32"/>
          <w:szCs w:val="32"/>
          <w:lang w:val="zh-TW"/>
          <w14:textFill>
            <w14:solidFill>
              <w14:schemeClr w14:val="tx1"/>
            </w14:solidFill>
          </w14:textFill>
        </w:rPr>
        <w:t>。</w:t>
      </w:r>
    </w:p>
    <w:p w14:paraId="5EE089C3">
      <w:pPr>
        <w:spacing w:line="560" w:lineRule="exact"/>
        <w:ind w:firstLine="643"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hint="eastAsia" w:ascii="Times New Roman" w:hAnsi="Times New Roman" w:eastAsia="仿宋_GB2312"/>
          <w:b/>
          <w:bCs/>
          <w:color w:val="000000" w:themeColor="text1"/>
          <w:kern w:val="0"/>
          <w:sz w:val="32"/>
          <w:szCs w:val="32"/>
          <w:lang w:val="zh-TW"/>
          <w14:textFill>
            <w14:solidFill>
              <w14:schemeClr w14:val="tx1"/>
            </w14:solidFill>
          </w14:textFill>
        </w:rPr>
        <w:t>一</w:t>
      </w:r>
      <w:r>
        <w:rPr>
          <w:rFonts w:ascii="Times New Roman" w:hAnsi="Times New Roman" w:eastAsia="仿宋_GB2312"/>
          <w:b/>
          <w:bCs/>
          <w:color w:val="000000" w:themeColor="text1"/>
          <w:kern w:val="0"/>
          <w:sz w:val="32"/>
          <w:szCs w:val="32"/>
          <w:lang w:val="zh-TW"/>
          <w14:textFill>
            <w14:solidFill>
              <w14:schemeClr w14:val="tx1"/>
            </w14:solidFill>
          </w14:textFill>
        </w:rPr>
        <w:t>是推进房地产中介服务全流程评价体系</w:t>
      </w:r>
      <w:r>
        <w:rPr>
          <w:rFonts w:hint="eastAsia" w:ascii="Times New Roman" w:hAnsi="Times New Roman" w:eastAsia="仿宋_GB2312"/>
          <w:b/>
          <w:bCs/>
          <w:color w:val="000000" w:themeColor="text1"/>
          <w:kern w:val="0"/>
          <w:sz w:val="32"/>
          <w:szCs w:val="32"/>
          <w14:textFill>
            <w14:solidFill>
              <w14:schemeClr w14:val="tx1"/>
            </w14:solidFill>
          </w14:textFill>
        </w:rPr>
        <w:t>建设</w:t>
      </w:r>
      <w:r>
        <w:rPr>
          <w:rFonts w:ascii="Times New Roman" w:hAnsi="Times New Roman" w:eastAsia="仿宋_GB2312"/>
          <w:b/>
          <w:bCs/>
          <w:color w:val="000000" w:themeColor="text1"/>
          <w:kern w:val="0"/>
          <w:sz w:val="32"/>
          <w:szCs w:val="32"/>
          <w:lang w:val="zh-TW"/>
          <w14:textFill>
            <w14:solidFill>
              <w14:schemeClr w14:val="tx1"/>
            </w14:solidFill>
          </w14:textFill>
        </w:rPr>
        <w:t>。</w:t>
      </w:r>
      <w:r>
        <w:rPr>
          <w:rFonts w:ascii="Times New Roman" w:hAnsi="Times New Roman" w:eastAsia="仿宋_GB2312"/>
          <w:color w:val="000000" w:themeColor="text1"/>
          <w:kern w:val="0"/>
          <w:sz w:val="32"/>
          <w:szCs w:val="32"/>
          <w:lang w:val="zh-TW"/>
          <w14:textFill>
            <w14:solidFill>
              <w14:schemeClr w14:val="tx1"/>
            </w14:solidFill>
          </w14:textFill>
        </w:rPr>
        <w:t>加强存量房交易服务消费者评价宣传，积极引导买卖双方对其服务主体进行评价，丰富信用评价参考维度。定期对存量房交易服务消费者评价数据进行统计，将评价结果纳入中介机构及从业人员的信用评分评级体系指标。</w:t>
      </w:r>
    </w:p>
    <w:p w14:paraId="437F41A2">
      <w:pPr>
        <w:spacing w:line="560" w:lineRule="exact"/>
        <w:ind w:firstLine="643"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hint="eastAsia" w:ascii="Times New Roman" w:hAnsi="Times New Roman" w:eastAsia="仿宋_GB2312"/>
          <w:b/>
          <w:bCs/>
          <w:color w:val="000000" w:themeColor="text1"/>
          <w:kern w:val="0"/>
          <w:sz w:val="32"/>
          <w:szCs w:val="32"/>
          <w:lang w:val="zh-TW"/>
          <w14:textFill>
            <w14:solidFill>
              <w14:schemeClr w14:val="tx1"/>
            </w14:solidFill>
          </w14:textFill>
        </w:rPr>
        <w:t>二</w:t>
      </w:r>
      <w:r>
        <w:rPr>
          <w:rFonts w:ascii="Times New Roman" w:hAnsi="Times New Roman" w:eastAsia="仿宋_GB2312"/>
          <w:b/>
          <w:bCs/>
          <w:color w:val="000000" w:themeColor="text1"/>
          <w:kern w:val="0"/>
          <w:sz w:val="32"/>
          <w:szCs w:val="32"/>
          <w:lang w:val="zh-TW"/>
          <w14:textFill>
            <w14:solidFill>
              <w14:schemeClr w14:val="tx1"/>
            </w14:solidFill>
          </w14:textFill>
        </w:rPr>
        <w:t>是优化信用奖惩制度。</w:t>
      </w:r>
      <w:r>
        <w:rPr>
          <w:rFonts w:ascii="Times New Roman" w:hAnsi="Times New Roman" w:eastAsia="仿宋_GB2312"/>
          <w:color w:val="000000" w:themeColor="text1"/>
          <w:kern w:val="0"/>
          <w:sz w:val="32"/>
          <w:szCs w:val="32"/>
          <w:lang w:val="zh-TW"/>
          <w14:textFill>
            <w14:solidFill>
              <w14:schemeClr w14:val="tx1"/>
            </w14:solidFill>
          </w14:textFill>
        </w:rPr>
        <w:t>信用管理工</w:t>
      </w:r>
      <w:r>
        <w:rPr>
          <w:rFonts w:hint="eastAsia" w:ascii="仿宋_GB2312" w:hAnsi="Times New Roman" w:eastAsia="仿宋_GB2312"/>
          <w:color w:val="000000" w:themeColor="text1"/>
          <w:kern w:val="0"/>
          <w:sz w:val="32"/>
          <w:szCs w:val="32"/>
          <w:lang w:val="zh-TW"/>
          <w14:textFill>
            <w14:solidFill>
              <w14:schemeClr w14:val="tx1"/>
            </w14:solidFill>
          </w14:textFill>
        </w:rPr>
        <w:t>作遵循“守信激励、失信惩戒”原则，对于信用等级“优质”“良好”（尤其是连年达到“良好”及以上等级）</w:t>
      </w:r>
      <w:r>
        <w:rPr>
          <w:rFonts w:ascii="Times New Roman" w:hAnsi="Times New Roman" w:eastAsia="仿宋_GB2312"/>
          <w:color w:val="000000" w:themeColor="text1"/>
          <w:kern w:val="0"/>
          <w:sz w:val="32"/>
          <w:szCs w:val="32"/>
          <w:lang w:val="zh-TW"/>
          <w14:textFill>
            <w14:solidFill>
              <w14:schemeClr w14:val="tx1"/>
            </w14:solidFill>
          </w14:textFill>
        </w:rPr>
        <w:t>的中介机构及从业人员给予相应的奖励措施，如：适当降低检查频次、减少检查项目；对其开展房地产中介业务提供一定便利。对于</w:t>
      </w:r>
      <w:r>
        <w:rPr>
          <w:rFonts w:hint="eastAsia" w:ascii="仿宋_GB2312" w:hAnsi="Times New Roman" w:eastAsia="仿宋_GB2312"/>
          <w:color w:val="000000" w:themeColor="text1"/>
          <w:kern w:val="0"/>
          <w:sz w:val="32"/>
          <w:szCs w:val="32"/>
          <w:lang w:val="zh-TW"/>
          <w14:textFill>
            <w14:solidFill>
              <w14:schemeClr w14:val="tx1"/>
            </w14:solidFill>
          </w14:textFill>
        </w:rPr>
        <w:t>“预警”“失信”等级以及消费者评价堪忧的中介机构及从业人员增加相应的惩戒措施，提高其违规成本，推动行业监管机制向“管平台、管数据、管信用”</w:t>
      </w:r>
      <w:r>
        <w:rPr>
          <w:rFonts w:ascii="Times New Roman" w:hAnsi="Times New Roman" w:eastAsia="仿宋_GB2312"/>
          <w:color w:val="000000" w:themeColor="text1"/>
          <w:kern w:val="0"/>
          <w:sz w:val="32"/>
          <w:szCs w:val="32"/>
          <w:lang w:val="zh-TW"/>
          <w14:textFill>
            <w14:solidFill>
              <w14:schemeClr w14:val="tx1"/>
            </w14:solidFill>
          </w14:textFill>
        </w:rPr>
        <w:t>模式转变。</w:t>
      </w:r>
    </w:p>
    <w:p w14:paraId="77312C2E">
      <w:pPr>
        <w:spacing w:line="560" w:lineRule="exact"/>
        <w:ind w:firstLine="643" w:firstLineChars="200"/>
        <w:rPr>
          <w:rFonts w:ascii="Times New Roman" w:hAnsi="Times New Roman" w:eastAsia="仿宋_GB2312"/>
          <w:color w:val="000000" w:themeColor="text1"/>
          <w:kern w:val="0"/>
          <w:sz w:val="32"/>
          <w:szCs w:val="32"/>
          <w:lang w:val="zh-TW"/>
          <w14:textFill>
            <w14:solidFill>
              <w14:schemeClr w14:val="tx1"/>
            </w14:solidFill>
          </w14:textFill>
        </w:rPr>
      </w:pPr>
      <w:r>
        <w:rPr>
          <w:rFonts w:hint="eastAsia" w:ascii="Times New Roman" w:hAnsi="Times New Roman" w:eastAsia="仿宋_GB2312"/>
          <w:b/>
          <w:bCs/>
          <w:color w:val="000000" w:themeColor="text1"/>
          <w:kern w:val="0"/>
          <w:sz w:val="32"/>
          <w:szCs w:val="32"/>
          <w:lang w:val="zh-TW"/>
          <w14:textFill>
            <w14:solidFill>
              <w14:schemeClr w14:val="tx1"/>
            </w14:solidFill>
          </w14:textFill>
        </w:rPr>
        <w:t>三</w:t>
      </w:r>
      <w:r>
        <w:rPr>
          <w:rFonts w:ascii="Times New Roman" w:hAnsi="Times New Roman" w:eastAsia="仿宋_GB2312"/>
          <w:b/>
          <w:bCs/>
          <w:color w:val="000000" w:themeColor="text1"/>
          <w:kern w:val="0"/>
          <w:sz w:val="32"/>
          <w:szCs w:val="32"/>
          <w:lang w:val="zh-TW"/>
          <w14:textFill>
            <w14:solidFill>
              <w14:schemeClr w14:val="tx1"/>
            </w14:solidFill>
          </w14:textFill>
        </w:rPr>
        <w:t>是压实</w:t>
      </w:r>
      <w:r>
        <w:rPr>
          <w:rFonts w:hint="eastAsia" w:ascii="Times New Roman" w:hAnsi="Times New Roman" w:eastAsia="仿宋_GB2312"/>
          <w:b/>
          <w:bCs/>
          <w:color w:val="000000" w:themeColor="text1"/>
          <w:kern w:val="0"/>
          <w:sz w:val="32"/>
          <w:szCs w:val="32"/>
          <w:lang w:val="zh-TW"/>
          <w14:textFill>
            <w14:solidFill>
              <w14:schemeClr w14:val="tx1"/>
            </w14:solidFill>
          </w14:textFill>
        </w:rPr>
        <w:t>互联网房源</w:t>
      </w:r>
      <w:r>
        <w:rPr>
          <w:rFonts w:hint="eastAsia" w:ascii="Times New Roman" w:hAnsi="Times New Roman" w:eastAsia="仿宋_GB2312"/>
          <w:b/>
          <w:bCs/>
          <w:color w:val="000000" w:themeColor="text1"/>
          <w:kern w:val="0"/>
          <w:sz w:val="32"/>
          <w:szCs w:val="32"/>
          <w14:textFill>
            <w14:solidFill>
              <w14:schemeClr w14:val="tx1"/>
            </w14:solidFill>
          </w14:textFill>
        </w:rPr>
        <w:t>信息</w:t>
      </w:r>
      <w:r>
        <w:rPr>
          <w:rFonts w:hint="eastAsia" w:ascii="Times New Roman" w:hAnsi="Times New Roman" w:eastAsia="仿宋_GB2312"/>
          <w:b/>
          <w:bCs/>
          <w:color w:val="000000" w:themeColor="text1"/>
          <w:kern w:val="0"/>
          <w:sz w:val="32"/>
          <w:szCs w:val="32"/>
          <w:lang w:val="zh-TW"/>
          <w14:textFill>
            <w14:solidFill>
              <w14:schemeClr w14:val="tx1"/>
            </w14:solidFill>
          </w14:textFill>
        </w:rPr>
        <w:t>发布</w:t>
      </w:r>
      <w:r>
        <w:rPr>
          <w:rFonts w:ascii="Times New Roman" w:hAnsi="Times New Roman" w:eastAsia="仿宋_GB2312"/>
          <w:b/>
          <w:bCs/>
          <w:color w:val="000000" w:themeColor="text1"/>
          <w:kern w:val="0"/>
          <w:sz w:val="32"/>
          <w:szCs w:val="32"/>
          <w:lang w:val="zh-TW"/>
          <w14:textFill>
            <w14:solidFill>
              <w14:schemeClr w14:val="tx1"/>
            </w14:solidFill>
          </w14:textFill>
        </w:rPr>
        <w:t>平台管理责任。</w:t>
      </w:r>
      <w:r>
        <w:rPr>
          <w:rFonts w:ascii="Times New Roman" w:hAnsi="Times New Roman" w:eastAsia="仿宋_GB2312"/>
          <w:color w:val="000000" w:themeColor="text1"/>
          <w:kern w:val="0"/>
          <w:sz w:val="32"/>
          <w:szCs w:val="32"/>
          <w:lang w:val="zh-TW"/>
          <w14:textFill>
            <w14:solidFill>
              <w14:schemeClr w14:val="tx1"/>
            </w14:solidFill>
          </w14:textFill>
        </w:rPr>
        <w:t>当前，加盟与商标授权的品牌化经营模式在房地产中介行业已占据重要地位，品牌机构对加盟中介机构的管理责任不容忽视。为促使品牌</w:t>
      </w:r>
      <w:r>
        <w:rPr>
          <w:rFonts w:hint="eastAsia" w:ascii="Times New Roman" w:hAnsi="Times New Roman" w:eastAsia="仿宋_GB2312"/>
          <w:color w:val="000000" w:themeColor="text1"/>
          <w:kern w:val="0"/>
          <w:sz w:val="32"/>
          <w:szCs w:val="32"/>
          <w:lang w:val="zh-TW"/>
          <w14:textFill>
            <w14:solidFill>
              <w14:schemeClr w14:val="tx1"/>
            </w14:solidFill>
          </w14:textFill>
        </w:rPr>
        <w:t>机构</w:t>
      </w:r>
      <w:r>
        <w:rPr>
          <w:rFonts w:ascii="Times New Roman" w:hAnsi="Times New Roman" w:eastAsia="仿宋_GB2312"/>
          <w:color w:val="000000" w:themeColor="text1"/>
          <w:kern w:val="0"/>
          <w:sz w:val="32"/>
          <w:szCs w:val="32"/>
          <w:lang w:val="zh-TW"/>
          <w14:textFill>
            <w14:solidFill>
              <w14:schemeClr w14:val="tx1"/>
            </w14:solidFill>
          </w14:textFill>
        </w:rPr>
        <w:t>对加盟中介机构、门店的规范管理，其一，</w:t>
      </w:r>
      <w:r>
        <w:rPr>
          <w:rFonts w:hint="eastAsia" w:ascii="Times New Roman" w:hAnsi="Times New Roman" w:eastAsia="仿宋_GB2312"/>
          <w:color w:val="000000" w:themeColor="text1"/>
          <w:kern w:val="0"/>
          <w:sz w:val="32"/>
          <w:szCs w:val="32"/>
          <w:lang w:val="zh-TW"/>
          <w14:textFill>
            <w14:solidFill>
              <w14:schemeClr w14:val="tx1"/>
            </w14:solidFill>
          </w14:textFill>
        </w:rPr>
        <w:t>要求互联网房源信息发布平台</w:t>
      </w:r>
      <w:r>
        <w:rPr>
          <w:rFonts w:ascii="Times New Roman" w:hAnsi="Times New Roman" w:eastAsia="仿宋_GB2312"/>
          <w:color w:val="000000" w:themeColor="text1"/>
          <w:kern w:val="0"/>
          <w:sz w:val="32"/>
          <w:szCs w:val="32"/>
          <w:lang w:val="zh-TW"/>
          <w14:textFill>
            <w14:solidFill>
              <w14:schemeClr w14:val="tx1"/>
            </w14:solidFill>
          </w14:textFill>
        </w:rPr>
        <w:t>推动完善平台内部监管机制，要求严格落实实名注册要求，确保从事房地产信息发布、咨询、居间等服务的账号主体身份信息真实、可追溯；其二，要求</w:t>
      </w:r>
      <w:r>
        <w:rPr>
          <w:rFonts w:hint="eastAsia" w:ascii="Times New Roman" w:hAnsi="Times New Roman" w:eastAsia="仿宋_GB2312"/>
          <w:color w:val="000000" w:themeColor="text1"/>
          <w:kern w:val="0"/>
          <w:sz w:val="32"/>
          <w:szCs w:val="32"/>
          <w:lang w:val="zh-TW"/>
          <w14:textFill>
            <w14:solidFill>
              <w14:schemeClr w14:val="tx1"/>
            </w14:solidFill>
          </w14:textFill>
        </w:rPr>
        <w:t>互联网房源信息发布</w:t>
      </w:r>
      <w:r>
        <w:rPr>
          <w:rFonts w:ascii="Times New Roman" w:hAnsi="Times New Roman" w:eastAsia="仿宋_GB2312"/>
          <w:color w:val="000000" w:themeColor="text1"/>
          <w:kern w:val="0"/>
          <w:sz w:val="32"/>
          <w:szCs w:val="32"/>
          <w:lang w:val="zh-TW"/>
          <w14:textFill>
            <w14:solidFill>
              <w14:schemeClr w14:val="tx1"/>
            </w14:solidFill>
          </w14:textFill>
        </w:rPr>
        <w:t>平台对接信用管理系统，对信用等级、评分较低的中介机构或从业人员发布内容加强审核频次和力度；其三，鼓励</w:t>
      </w:r>
      <w:r>
        <w:rPr>
          <w:rFonts w:hint="eastAsia" w:ascii="Times New Roman" w:hAnsi="Times New Roman" w:eastAsia="仿宋_GB2312"/>
          <w:color w:val="000000" w:themeColor="text1"/>
          <w:kern w:val="0"/>
          <w:sz w:val="32"/>
          <w:szCs w:val="32"/>
          <w:lang w:val="zh-TW"/>
          <w14:textFill>
            <w14:solidFill>
              <w14:schemeClr w14:val="tx1"/>
            </w14:solidFill>
          </w14:textFill>
        </w:rPr>
        <w:t>互联网房源发布</w:t>
      </w:r>
      <w:r>
        <w:rPr>
          <w:rFonts w:ascii="Times New Roman" w:hAnsi="Times New Roman" w:eastAsia="仿宋_GB2312"/>
          <w:color w:val="000000" w:themeColor="text1"/>
          <w:kern w:val="0"/>
          <w:sz w:val="32"/>
          <w:szCs w:val="32"/>
          <w:lang w:val="zh-TW"/>
          <w14:textFill>
            <w14:solidFill>
              <w14:schemeClr w14:val="tx1"/>
            </w14:solidFill>
          </w14:textFill>
        </w:rPr>
        <w:t>平台对出现违反相关规则、信用评价情况欠佳的账号实行限流甚至注销手段，以儆效尤，维护</w:t>
      </w:r>
      <w:r>
        <w:rPr>
          <w:rFonts w:ascii="Times New Roman" w:hAnsi="Times New Roman" w:eastAsia="仿宋_GB2312"/>
          <w:color w:val="000000" w:themeColor="text1"/>
          <w:kern w:val="0"/>
          <w:sz w:val="32"/>
          <w:szCs w:val="32"/>
          <w14:textFill>
            <w14:solidFill>
              <w14:schemeClr w14:val="tx1"/>
            </w14:solidFill>
          </w14:textFill>
        </w:rPr>
        <w:t>行业</w:t>
      </w:r>
      <w:r>
        <w:rPr>
          <w:rFonts w:ascii="Times New Roman" w:hAnsi="Times New Roman" w:eastAsia="仿宋_GB2312"/>
          <w:color w:val="000000" w:themeColor="text1"/>
          <w:kern w:val="0"/>
          <w:sz w:val="32"/>
          <w:szCs w:val="32"/>
          <w:lang w:val="zh-TW"/>
          <w14:textFill>
            <w14:solidFill>
              <w14:schemeClr w14:val="tx1"/>
            </w14:solidFill>
          </w14:textFill>
        </w:rPr>
        <w:t>健康生态。</w:t>
      </w:r>
    </w:p>
    <w:p w14:paraId="72281CAE">
      <w:pPr>
        <w:pStyle w:val="2"/>
        <w:keepNext w:val="0"/>
        <w:pageBreakBefore/>
        <w:spacing w:before="120" w:beforeLines="50" w:after="120" w:afterLines="50" w:line="360" w:lineRule="auto"/>
        <w:rPr>
          <w:rFonts w:ascii="Times New Roman" w:hAnsi="Times New Roman" w:eastAsia="黑体"/>
          <w:bCs w:val="0"/>
          <w:color w:val="000000" w:themeColor="text1"/>
          <w:sz w:val="24"/>
          <w:szCs w:val="24"/>
          <w14:textFill>
            <w14:solidFill>
              <w14:schemeClr w14:val="tx1"/>
            </w14:solidFill>
          </w14:textFill>
        </w:rPr>
      </w:pPr>
      <w:bookmarkStart w:id="379" w:name="_Toc64643535"/>
      <w:bookmarkStart w:id="380" w:name="_Toc192845474"/>
      <w:bookmarkStart w:id="381" w:name="_Toc98168334"/>
      <w:r>
        <w:rPr>
          <w:rFonts w:ascii="Times New Roman" w:hAnsi="Times New Roman" w:eastAsia="黑体"/>
          <w:bCs w:val="0"/>
          <w:color w:val="000000" w:themeColor="text1"/>
          <w:sz w:val="32"/>
          <w:szCs w:val="24"/>
          <w14:textFill>
            <w14:solidFill>
              <w14:schemeClr w14:val="tx1"/>
            </w14:solidFill>
          </w14:textFill>
        </w:rPr>
        <w:t>附件</w:t>
      </w:r>
      <w:bookmarkEnd w:id="379"/>
      <w:bookmarkEnd w:id="380"/>
      <w:bookmarkEnd w:id="381"/>
      <w:bookmarkStart w:id="382" w:name="_Toc98168335"/>
      <w:bookmarkStart w:id="383" w:name="_Toc64643536"/>
    </w:p>
    <w:p w14:paraId="671FA450">
      <w:pPr>
        <w:jc w:val="center"/>
        <w:rPr>
          <w:rFonts w:ascii="Times New Roman" w:hAnsi="Times New Roman" w:eastAsia="黑体"/>
          <w:b/>
          <w:sz w:val="24"/>
        </w:rPr>
      </w:pPr>
      <w:r>
        <w:rPr>
          <w:rFonts w:ascii="Times New Roman" w:hAnsi="Times New Roman" w:eastAsia="Times New Roman"/>
          <w:snapToGrid w:val="0"/>
          <w:color w:val="000000"/>
          <w:w w:val="0"/>
          <w:kern w:val="0"/>
          <w:sz w:val="0"/>
          <w:szCs w:val="0"/>
          <w:u w:color="000000"/>
          <w:shd w:val="clear" w:color="000000" w:fill="000000"/>
          <w:lang w:val="zh-CN" w:bidi="zh-CN"/>
        </w:rPr>
        <w:t xml:space="preserve"> </w:t>
      </w:r>
      <w:r>
        <w:rPr>
          <w:rFonts w:ascii="Times New Roman" w:hAnsi="Times New Roman" w:eastAsia="Times New Roman"/>
          <w:color w:val="000000"/>
          <w:w w:val="0"/>
          <w:kern w:val="0"/>
          <w:sz w:val="0"/>
          <w:szCs w:val="0"/>
          <w:u w:color="000000"/>
          <w:shd w:val="clear" w:color="000000" w:fill="000000"/>
        </w:rPr>
        <w:drawing>
          <wp:inline distT="0" distB="0" distL="0" distR="0">
            <wp:extent cx="1600200" cy="1619250"/>
            <wp:effectExtent l="0" t="0" r="0" b="0"/>
            <wp:docPr id="29" name="图片 29" descr="D:\研究部\行业信用白皮书与行业生态研究报告\2024年中介行业信用白皮书\行业自律部\广州市房地产中介信用评分评级管理办法（2024年修订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研究部\行业信用白皮书与行业生态研究报告\2024年中介行业信用白皮书\行业自律部\广州市房地产中介信用评分评级管理办法（2024年修订版）.png"/>
                    <pic:cNvPicPr>
                      <a:picLocks noChangeAspect="1" noChangeArrowheads="1"/>
                    </pic:cNvPicPr>
                  </pic:nvPicPr>
                  <pic:blipFill>
                    <a:blip r:embed="rId56">
                      <a:extLst>
                        <a:ext uri="{28A0092B-C50C-407E-A947-70E740481C1C}">
                          <a14:useLocalDpi xmlns:a14="http://schemas.microsoft.com/office/drawing/2010/main" val="0"/>
                        </a:ext>
                      </a:extLst>
                    </a:blip>
                    <a:srcRect l="1176"/>
                    <a:stretch>
                      <a:fillRect/>
                    </a:stretch>
                  </pic:blipFill>
                  <pic:spPr>
                    <a:xfrm>
                      <a:off x="0" y="0"/>
                      <a:ext cx="1600941" cy="1620000"/>
                    </a:xfrm>
                    <a:prstGeom prst="rect">
                      <a:avLst/>
                    </a:prstGeom>
                    <a:noFill/>
                    <a:ln>
                      <a:noFill/>
                    </a:ln>
                  </pic:spPr>
                </pic:pic>
              </a:graphicData>
            </a:graphic>
          </wp:inline>
        </w:drawing>
      </w:r>
    </w:p>
    <w:p w14:paraId="62ED6F0A">
      <w:pPr>
        <w:jc w:val="center"/>
        <w:rPr>
          <w:rFonts w:ascii="Times New Roman" w:hAnsi="Times New Roman" w:eastAsia="黑体"/>
          <w:b/>
          <w:sz w:val="24"/>
        </w:rPr>
      </w:pPr>
      <w:r>
        <w:rPr>
          <w:rFonts w:ascii="Times New Roman" w:hAnsi="Times New Roman" w:eastAsia="黑体"/>
          <w:b/>
          <w:sz w:val="24"/>
        </w:rPr>
        <w:t>1.</w:t>
      </w:r>
      <w:bookmarkStart w:id="384" w:name="OLE_LINK69"/>
      <w:bookmarkStart w:id="385" w:name="OLE_LINK68"/>
      <w:r>
        <w:rPr>
          <w:rFonts w:ascii="Times New Roman" w:hAnsi="Times New Roman" w:eastAsia="黑体"/>
          <w:b/>
          <w:sz w:val="24"/>
        </w:rPr>
        <w:t>广州市房地产中介信用</w:t>
      </w:r>
      <w:bookmarkStart w:id="386" w:name="OLE_LINK42"/>
      <w:bookmarkStart w:id="387" w:name="OLE_LINK41"/>
      <w:r>
        <w:rPr>
          <w:rFonts w:ascii="Times New Roman" w:hAnsi="Times New Roman" w:eastAsia="黑体"/>
          <w:b/>
          <w:sz w:val="24"/>
        </w:rPr>
        <w:t>评分评级管理办法</w:t>
      </w:r>
      <w:bookmarkEnd w:id="384"/>
      <w:bookmarkEnd w:id="385"/>
      <w:bookmarkEnd w:id="386"/>
      <w:bookmarkEnd w:id="387"/>
      <w:r>
        <w:rPr>
          <w:rFonts w:ascii="Times New Roman" w:hAnsi="Times New Roman" w:eastAsia="黑体"/>
          <w:b/>
          <w:sz w:val="24"/>
        </w:rPr>
        <w:t>（2024年修订版）</w:t>
      </w:r>
    </w:p>
    <w:p w14:paraId="5403CE21">
      <w:pPr>
        <w:jc w:val="center"/>
        <w:rPr>
          <w:rFonts w:ascii="Times New Roman" w:hAnsi="Times New Roman" w:eastAsia="黑体"/>
          <w:b/>
          <w:sz w:val="24"/>
        </w:rPr>
      </w:pPr>
    </w:p>
    <w:p w14:paraId="215CFF9C">
      <w:pPr>
        <w:jc w:val="center"/>
        <w:rPr>
          <w:rFonts w:ascii="Times New Roman" w:hAnsi="Times New Roman" w:eastAsia="黑体"/>
          <w:bCs/>
          <w:sz w:val="24"/>
        </w:rPr>
      </w:pPr>
      <w:r>
        <w:rPr>
          <w:rFonts w:ascii="Times New Roman" w:hAnsi="Times New Roman" w:eastAsia="黑体"/>
          <w:b/>
          <w:sz w:val="24"/>
        </w:rPr>
        <w:drawing>
          <wp:inline distT="0" distB="0" distL="114300" distR="114300">
            <wp:extent cx="1691005" cy="1691005"/>
            <wp:effectExtent l="0" t="0" r="4445" b="4445"/>
            <wp:docPr id="33" name="图片 33" descr="信用档案及评分评级体系简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信用档案及评分评级体系简介"/>
                    <pic:cNvPicPr>
                      <a:picLocks noChangeAspect="1"/>
                    </pic:cNvPicPr>
                  </pic:nvPicPr>
                  <pic:blipFill>
                    <a:blip r:embed="rId57"/>
                    <a:stretch>
                      <a:fillRect/>
                    </a:stretch>
                  </pic:blipFill>
                  <pic:spPr>
                    <a:xfrm>
                      <a:off x="0" y="0"/>
                      <a:ext cx="1691005" cy="1691005"/>
                    </a:xfrm>
                    <a:prstGeom prst="rect">
                      <a:avLst/>
                    </a:prstGeom>
                  </pic:spPr>
                </pic:pic>
              </a:graphicData>
            </a:graphic>
          </wp:inline>
        </w:drawing>
      </w:r>
    </w:p>
    <w:p w14:paraId="117DB222">
      <w:pPr>
        <w:jc w:val="center"/>
        <w:rPr>
          <w:rFonts w:ascii="Times New Roman" w:hAnsi="Times New Roman" w:eastAsia="黑体"/>
          <w:b/>
          <w:color w:val="000000" w:themeColor="text1"/>
          <w:sz w:val="24"/>
          <w14:textFill>
            <w14:solidFill>
              <w14:schemeClr w14:val="tx1"/>
            </w14:solidFill>
          </w14:textFill>
        </w:rPr>
      </w:pPr>
      <w:r>
        <w:rPr>
          <w:rFonts w:ascii="Times New Roman" w:hAnsi="Times New Roman" w:eastAsia="黑体"/>
          <w:b/>
          <w:color w:val="000000" w:themeColor="text1"/>
          <w:sz w:val="24"/>
          <w14:textFill>
            <w14:solidFill>
              <w14:schemeClr w14:val="tx1"/>
            </w14:solidFill>
          </w14:textFill>
        </w:rPr>
        <w:t>2.信用档案及评分评级体系简介</w:t>
      </w:r>
      <w:bookmarkEnd w:id="382"/>
    </w:p>
    <w:p w14:paraId="640208DE">
      <w:pPr>
        <w:jc w:val="center"/>
        <w:rPr>
          <w:rFonts w:ascii="Times New Roman" w:hAnsi="Times New Roman" w:eastAsia="黑体"/>
          <w:b/>
          <w:sz w:val="24"/>
        </w:rPr>
      </w:pPr>
    </w:p>
    <w:bookmarkEnd w:id="383"/>
    <w:p w14:paraId="68A2708F">
      <w:pPr>
        <w:jc w:val="center"/>
        <w:rPr>
          <w:rFonts w:ascii="Times New Roman" w:hAnsi="Times New Roman" w:eastAsia="黑体"/>
          <w:b/>
          <w:sz w:val="24"/>
        </w:rPr>
      </w:pPr>
      <w:r>
        <w:rPr>
          <w:rFonts w:ascii="Times New Roman" w:hAnsi="Times New Roman" w:eastAsia="黑体"/>
          <w:b/>
          <w:sz w:val="24"/>
        </w:rPr>
        <w:drawing>
          <wp:inline distT="0" distB="0" distL="0" distR="0">
            <wp:extent cx="1619885" cy="161988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inline>
        </w:drawing>
      </w:r>
    </w:p>
    <w:p w14:paraId="2C6F6F12">
      <w:pPr>
        <w:jc w:val="center"/>
        <w:rPr>
          <w:rFonts w:ascii="Times New Roman" w:hAnsi="Times New Roman" w:eastAsia="黑体"/>
          <w:b/>
          <w:sz w:val="24"/>
        </w:rPr>
      </w:pPr>
      <w:bookmarkStart w:id="388" w:name="_Toc64643538"/>
      <w:bookmarkStart w:id="389" w:name="_Toc98168338"/>
      <w:r>
        <w:rPr>
          <w:rFonts w:ascii="Times New Roman" w:hAnsi="Times New Roman" w:eastAsia="黑体"/>
          <w:b/>
          <w:sz w:val="24"/>
        </w:rPr>
        <w:t>3.广州市房地产中介行业不良行为管理办法</w:t>
      </w:r>
      <w:bookmarkEnd w:id="388"/>
      <w:r>
        <w:rPr>
          <w:rFonts w:ascii="Times New Roman" w:hAnsi="Times New Roman" w:eastAsia="黑体"/>
          <w:b/>
          <w:sz w:val="24"/>
        </w:rPr>
        <w:t>（2019年修订版）</w:t>
      </w:r>
      <w:bookmarkEnd w:id="389"/>
    </w:p>
    <w:p w14:paraId="5C648F26">
      <w:pPr>
        <w:jc w:val="center"/>
        <w:rPr>
          <w:rFonts w:ascii="Times New Roman" w:hAnsi="Times New Roman" w:eastAsia="黑体"/>
          <w:b/>
          <w:sz w:val="24"/>
        </w:rPr>
      </w:pPr>
    </w:p>
    <w:p w14:paraId="665554C5">
      <w:pPr>
        <w:jc w:val="center"/>
        <w:rPr>
          <w:rFonts w:ascii="Times New Roman" w:hAnsi="Times New Roman" w:eastAsia="黑体"/>
          <w:b/>
          <w:sz w:val="24"/>
        </w:rPr>
      </w:pPr>
      <w:r>
        <w:rPr>
          <w:rFonts w:ascii="Times New Roman" w:hAnsi="Times New Roman" w:eastAsia="黑体"/>
          <w:b/>
          <w:sz w:val="24"/>
        </w:rPr>
        <w:drawing>
          <wp:inline distT="0" distB="0" distL="0" distR="0">
            <wp:extent cx="1619885" cy="161988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inline>
        </w:drawing>
      </w:r>
    </w:p>
    <w:p w14:paraId="7566952D">
      <w:pPr>
        <w:jc w:val="center"/>
        <w:rPr>
          <w:rFonts w:ascii="Times New Roman" w:hAnsi="Times New Roman" w:eastAsia="黑体"/>
          <w:b/>
          <w:sz w:val="24"/>
        </w:rPr>
      </w:pPr>
      <w:bookmarkStart w:id="390" w:name="_Toc98168339"/>
      <w:bookmarkStart w:id="391" w:name="_Toc64643539"/>
      <w:r>
        <w:rPr>
          <w:rFonts w:ascii="Times New Roman" w:hAnsi="Times New Roman" w:eastAsia="黑体"/>
          <w:b/>
          <w:sz w:val="24"/>
        </w:rPr>
        <w:t>4.广州市房地产中介服务品牌信用评分评级规则</w:t>
      </w:r>
      <w:bookmarkEnd w:id="390"/>
      <w:bookmarkEnd w:id="391"/>
    </w:p>
    <w:p w14:paraId="58E5951F">
      <w:pPr>
        <w:jc w:val="center"/>
        <w:rPr>
          <w:rFonts w:ascii="Times New Roman" w:hAnsi="Times New Roman" w:eastAsia="黑体"/>
          <w:b/>
          <w:sz w:val="24"/>
        </w:rPr>
      </w:pPr>
    </w:p>
    <w:p w14:paraId="2CDA01F9">
      <w:pPr>
        <w:pStyle w:val="26"/>
        <w:ind w:firstLine="0"/>
        <w:rPr>
          <w:rFonts w:hint="default"/>
          <w:color w:val="FF0000"/>
        </w:rPr>
      </w:pPr>
      <w:bookmarkStart w:id="392" w:name="RANGE!A1"/>
      <w:bookmarkEnd w:id="392"/>
    </w:p>
    <w:sectPr>
      <w:type w:val="continuous"/>
      <w:pgSz w:w="11906" w:h="16838"/>
      <w:pgMar w:top="1418" w:right="1418" w:bottom="1418" w:left="1418" w:header="851" w:footer="1020" w:gutter="0"/>
      <w:pgNumType w:start="1" w:chapStyle="1"/>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1ACE0A-E9E1-4A93-9118-99C6AB22C1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5B7D613A-E73D-480E-81AD-D1BE1B550473}"/>
  </w:font>
  <w:font w:name="方正小标宋简体">
    <w:altName w:val="Arial Unicode MS"/>
    <w:panose1 w:val="02000000000000000000"/>
    <w:charset w:val="86"/>
    <w:family w:val="script"/>
    <w:pitch w:val="default"/>
    <w:sig w:usb0="00000000" w:usb1="00000000" w:usb2="00000012" w:usb3="00000000" w:csb0="00040001" w:csb1="00000000"/>
    <w:embedRegular r:id="rId3" w:fontKey="{C15BB705-783D-48AF-8074-7BE7F5BCB7FC}"/>
  </w:font>
  <w:font w:name="仿宋_GB2312">
    <w:altName w:val="仿宋"/>
    <w:panose1 w:val="02010609030101010101"/>
    <w:charset w:val="86"/>
    <w:family w:val="modern"/>
    <w:pitch w:val="default"/>
    <w:sig w:usb0="00000000" w:usb1="00000000" w:usb2="00000000" w:usb3="00000000" w:csb0="00040000" w:csb1="00000000"/>
    <w:embedRegular r:id="rId4" w:fontKey="{B23D7AC9-D861-4C4E-A726-F6029F1D1F48}"/>
  </w:font>
  <w:font w:name="方正隶书_GBK">
    <w:altName w:val="隶书"/>
    <w:panose1 w:val="02000000000000000000"/>
    <w:charset w:val="86"/>
    <w:family w:val="auto"/>
    <w:pitch w:val="default"/>
    <w:sig w:usb0="00000000" w:usb1="00000000" w:usb2="00000000" w:usb3="00000000" w:csb0="00040000" w:csb1="00000000"/>
    <w:embedRegular r:id="rId5" w:fontKey="{07D10411-6E67-43FD-B2BE-8BA8B9AA7242}"/>
  </w:font>
  <w:font w:name="等线">
    <w:panose1 w:val="02010600030101010101"/>
    <w:charset w:val="86"/>
    <w:family w:val="auto"/>
    <w:pitch w:val="default"/>
    <w:sig w:usb0="A00002BF" w:usb1="38CF7CFA" w:usb2="00000016" w:usb3="00000000" w:csb0="0004000F" w:csb1="00000000"/>
    <w:embedRegular r:id="rId6" w:fontKey="{F05E266F-E9FA-495C-98D9-2498685D0B21}"/>
  </w:font>
  <w:font w:name="楷体">
    <w:panose1 w:val="02010609060101010101"/>
    <w:charset w:val="86"/>
    <w:family w:val="modern"/>
    <w:pitch w:val="default"/>
    <w:sig w:usb0="800002BF" w:usb1="38CF7CFA" w:usb2="00000016" w:usb3="00000000" w:csb0="00040001" w:csb1="00000000"/>
    <w:embedRegular r:id="rId7" w:fontKey="{1437B519-3428-419A-87B6-F1DB21DC8759}"/>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2662194"/>
    </w:sdtPr>
    <w:sdtContent>
      <w:p w14:paraId="7EBDE0C6">
        <w:pPr>
          <w:pStyle w:val="12"/>
          <w:jc w:val="center"/>
        </w:pPr>
        <w:r>
          <w:fldChar w:fldCharType="begin"/>
        </w:r>
        <w:r>
          <w:instrText xml:space="preserve">PAGE   \* MERGEFORMAT</w:instrText>
        </w:r>
        <w:r>
          <w:fldChar w:fldCharType="separate"/>
        </w:r>
        <w:r>
          <w:rPr>
            <w:lang w:val="zh-CN"/>
          </w:rPr>
          <w:t>4</w:t>
        </w:r>
        <w:r>
          <w:rPr>
            <w:lang w:val="zh-CN"/>
          </w:rPr>
          <w:fldChar w:fldCharType="end"/>
        </w:r>
      </w:p>
    </w:sdtContent>
  </w:sdt>
  <w:p w14:paraId="6D3BC736">
    <w:pPr>
      <w:pStyle w:val="12"/>
      <w:jc w:val="center"/>
      <w:rPr>
        <w:rFonts w:eastAsiaTheme="minor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3E153">
    <w:pPr>
      <w:pStyle w:val="12"/>
      <w:jc w:val="center"/>
      <w:rPr>
        <w:rFonts w:eastAsiaTheme="min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78486">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F0A8A">
    <w:pPr>
      <w:pStyle w:val="12"/>
      <w:jc w:val="center"/>
    </w:pPr>
    <w:r>
      <w:fldChar w:fldCharType="begin"/>
    </w:r>
    <w:r>
      <w:instrText xml:space="preserve">PAGE   \* MERGEFORMAT</w:instrText>
    </w:r>
    <w:r>
      <w:fldChar w:fldCharType="separate"/>
    </w:r>
    <w:r>
      <w:rPr>
        <w:lang w:val="zh-CN"/>
      </w:rPr>
      <w:t>47</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6A071">
    <w:pPr>
      <w:pStyle w:val="12"/>
      <w:jc w:val="center"/>
    </w:pPr>
    <w:r>
      <w:fldChar w:fldCharType="begin"/>
    </w:r>
    <w:r>
      <w:instrText xml:space="preserve">PAGE   \* MERGEFORMAT</w:instrText>
    </w:r>
    <w:r>
      <w:fldChar w:fldCharType="separate"/>
    </w:r>
    <w:r>
      <w:rPr>
        <w:lang w:val="zh-CN"/>
      </w:rPr>
      <w:t>1</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r>
        <w:separator/>
      </w:r>
    </w:p>
  </w:footnote>
  <w:footnote w:type="continuationSeparator" w:id="29">
    <w:p>
      <w:r>
        <w:continuationSeparator/>
      </w:r>
    </w:p>
  </w:footnote>
  <w:footnote w:id="0">
    <w:p w14:paraId="006DE681">
      <w:pPr>
        <w:pStyle w:val="15"/>
      </w:pPr>
      <w:r>
        <w:rPr>
          <w:rStyle w:val="25"/>
        </w:rPr>
        <w:footnoteRef/>
      </w:r>
      <w:r>
        <w:rPr>
          <w:rFonts w:ascii="Times New Roman" w:hAnsi="Times New Roman"/>
        </w:rPr>
        <w:t>广州市2024年房地产中介机构年度检查</w:t>
      </w:r>
      <w:r>
        <w:rPr>
          <w:rFonts w:hint="eastAsia" w:ascii="Times New Roman" w:hAnsi="Times New Roman"/>
        </w:rPr>
        <w:t>截至</w:t>
      </w:r>
      <w:r>
        <w:rPr>
          <w:rFonts w:ascii="Times New Roman" w:hAnsi="Times New Roman"/>
        </w:rPr>
        <w:t>2025年2月16日。</w:t>
      </w:r>
    </w:p>
  </w:footnote>
  <w:footnote w:id="1">
    <w:p w14:paraId="7BD2D685">
      <w:pPr>
        <w:pStyle w:val="15"/>
      </w:pPr>
      <w:r>
        <w:rPr>
          <w:rStyle w:val="25"/>
        </w:rPr>
        <w:footnoteRef/>
      </w:r>
      <w:r>
        <w:rPr>
          <w:rFonts w:hint="eastAsia"/>
        </w:rPr>
        <w:t>信用等级“</w:t>
      </w:r>
      <w:r>
        <w:rPr>
          <w:rFonts w:hint="eastAsia"/>
          <w:b/>
        </w:rPr>
        <w:t>优质</w:t>
      </w:r>
      <w:r>
        <w:rPr>
          <w:rFonts w:hint="eastAsia"/>
        </w:rPr>
        <w:t>”，须同时符合以下条件：1、信用评分95分以上；2、单位：依法设立且在行政主管部门连续备案满4年；个人：按规定办理从业登记手续，且连续从业满4年；3、过往3年的年终信用等级结果未被评为预警或失信；4、过往2年及当年未被行政主管部门通报批评或行政处罚。5、机构从业人员信用信息卡持卡率需达到80%以上。</w:t>
      </w:r>
    </w:p>
  </w:footnote>
  <w:footnote w:id="2">
    <w:p w14:paraId="172DE0E7">
      <w:pPr>
        <w:pStyle w:val="15"/>
        <w:rPr>
          <w:rFonts w:ascii="Times New Roman" w:hAnsi="Times New Roman" w:eastAsiaTheme="minorEastAsia"/>
        </w:rPr>
      </w:pPr>
      <w:r>
        <w:rPr>
          <w:rStyle w:val="25"/>
          <w:rFonts w:ascii="Times New Roman" w:hAnsi="Times New Roman" w:eastAsiaTheme="minorEastAsia"/>
        </w:rPr>
        <w:footnoteRef/>
      </w:r>
      <w:r>
        <w:rPr>
          <w:rFonts w:ascii="Times New Roman" w:hAnsi="Times New Roman" w:eastAsiaTheme="minorEastAsia"/>
        </w:rPr>
        <w:t>信用等级</w:t>
      </w:r>
      <w:r>
        <w:rPr>
          <w:rFonts w:ascii="宋体" w:hAnsi="宋体"/>
        </w:rPr>
        <w:t>“</w:t>
      </w:r>
      <w:r>
        <w:rPr>
          <w:rFonts w:ascii="宋体" w:hAnsi="宋体"/>
          <w:b/>
        </w:rPr>
        <w:t>良好</w:t>
      </w:r>
      <w:r>
        <w:rPr>
          <w:rFonts w:ascii="宋体" w:hAnsi="宋体"/>
        </w:rPr>
        <w:t>”</w:t>
      </w:r>
      <w:r>
        <w:rPr>
          <w:rFonts w:ascii="Times New Roman" w:hAnsi="Times New Roman" w:eastAsiaTheme="minorEastAsia"/>
        </w:rPr>
        <w:t>，须同时符合以下条件：1、信用评分90分以上；2、单位：依法设立且在行政主管部门连续备案满3年，且每年按时参加年检；个人：按规定办理从业登记手续，并连续从业满2年；3、过往2年的年终信用等级结果未被评为预警或失信；4、过往2年及当年未被行政主管部门通报批评或行政处罚。5、机构从业人员信用信息卡持卡率需达到80%以上。</w:t>
      </w:r>
    </w:p>
  </w:footnote>
  <w:footnote w:id="3">
    <w:p w14:paraId="7602BE0A">
      <w:pPr>
        <w:pStyle w:val="15"/>
        <w:rPr>
          <w:rFonts w:ascii="Times New Roman" w:hAnsi="Times New Roman" w:eastAsiaTheme="minorEastAsia"/>
        </w:rPr>
      </w:pPr>
      <w:r>
        <w:rPr>
          <w:rStyle w:val="25"/>
          <w:rFonts w:ascii="Times New Roman" w:hAnsi="Times New Roman" w:eastAsiaTheme="minorEastAsia"/>
        </w:rPr>
        <w:footnoteRef/>
      </w:r>
      <w:r>
        <w:rPr>
          <w:rFonts w:ascii="Times New Roman" w:hAnsi="Times New Roman" w:eastAsiaTheme="minorEastAsia"/>
        </w:rPr>
        <w:t>信用等级</w:t>
      </w:r>
      <w:r>
        <w:rPr>
          <w:rFonts w:ascii="宋体" w:hAnsi="宋体"/>
        </w:rPr>
        <w:t>“</w:t>
      </w:r>
      <w:r>
        <w:rPr>
          <w:rFonts w:ascii="宋体" w:hAnsi="宋体"/>
          <w:b/>
        </w:rPr>
        <w:t>诚信</w:t>
      </w:r>
      <w:r>
        <w:rPr>
          <w:rFonts w:ascii="宋体" w:hAnsi="宋体"/>
        </w:rPr>
        <w:t>”</w:t>
      </w:r>
      <w:r>
        <w:rPr>
          <w:rFonts w:ascii="Times New Roman" w:hAnsi="Times New Roman" w:eastAsiaTheme="minorEastAsia"/>
        </w:rPr>
        <w:t>，须同时符合以下条件：1、信用评分70分及以上；2、单位：依法设立且在行政主管部门办理备案满2年，且每年按时参加年检；个人：按规定办理从业登记手续，且连续从业满2年。</w:t>
      </w:r>
    </w:p>
  </w:footnote>
  <w:footnote w:id="4">
    <w:p w14:paraId="30BFB7B8">
      <w:pPr>
        <w:pStyle w:val="15"/>
        <w:rPr>
          <w:rFonts w:ascii="Times New Roman" w:hAnsi="Times New Roman" w:eastAsiaTheme="minorEastAsia"/>
        </w:rPr>
      </w:pPr>
      <w:r>
        <w:rPr>
          <w:rStyle w:val="25"/>
          <w:rFonts w:ascii="Times New Roman" w:hAnsi="Times New Roman" w:eastAsiaTheme="minorEastAsia"/>
        </w:rPr>
        <w:footnoteRef/>
      </w:r>
      <w:r>
        <w:rPr>
          <w:rFonts w:ascii="Times New Roman" w:hAnsi="Times New Roman" w:eastAsiaTheme="minorEastAsia"/>
        </w:rPr>
        <w:t>信用等级</w:t>
      </w:r>
      <w:r>
        <w:rPr>
          <w:rFonts w:ascii="宋体" w:hAnsi="宋体"/>
        </w:rPr>
        <w:t>“</w:t>
      </w:r>
      <w:r>
        <w:rPr>
          <w:rFonts w:ascii="宋体" w:hAnsi="宋体"/>
          <w:b/>
        </w:rPr>
        <w:t>暂定诚信</w:t>
      </w:r>
      <w:r>
        <w:rPr>
          <w:rFonts w:ascii="宋体" w:hAnsi="宋体"/>
        </w:rPr>
        <w:t>”</w:t>
      </w:r>
      <w:r>
        <w:rPr>
          <w:rFonts w:ascii="Times New Roman" w:hAnsi="Times New Roman" w:eastAsiaTheme="minorEastAsia"/>
        </w:rPr>
        <w:t>，须同时符合以下条件：1、信用评分70分及以上；2、单位：依法设立且在行政主管部门办理备案，但未满2年；个人：按规定办理从业登记手续，但连续从业未满2年。</w:t>
      </w:r>
    </w:p>
  </w:footnote>
  <w:footnote w:id="5">
    <w:p w14:paraId="1714A9F2">
      <w:pPr>
        <w:pStyle w:val="15"/>
        <w:rPr>
          <w:rFonts w:ascii="Times New Roman" w:hAnsi="Times New Roman" w:eastAsiaTheme="minorEastAsia"/>
        </w:rPr>
      </w:pPr>
      <w:r>
        <w:rPr>
          <w:rStyle w:val="25"/>
          <w:rFonts w:ascii="Times New Roman" w:hAnsi="Times New Roman" w:eastAsiaTheme="minorEastAsia"/>
        </w:rPr>
        <w:footnoteRef/>
      </w:r>
      <w:r>
        <w:rPr>
          <w:rFonts w:ascii="Times New Roman" w:hAnsi="Times New Roman" w:eastAsiaTheme="minorEastAsia"/>
        </w:rPr>
        <w:t>有以下情形之一时，信用等级为</w:t>
      </w:r>
      <w:r>
        <w:rPr>
          <w:rFonts w:ascii="宋体" w:hAnsi="宋体"/>
        </w:rPr>
        <w:t>“</w:t>
      </w:r>
      <w:r>
        <w:rPr>
          <w:rFonts w:ascii="宋体" w:hAnsi="宋体"/>
          <w:b/>
        </w:rPr>
        <w:t>预警</w:t>
      </w:r>
      <w:r>
        <w:rPr>
          <w:rFonts w:ascii="宋体" w:hAnsi="宋体"/>
        </w:rPr>
        <w:t>”</w:t>
      </w:r>
      <w:r>
        <w:rPr>
          <w:rFonts w:ascii="Times New Roman" w:hAnsi="Times New Roman" w:eastAsiaTheme="minorEastAsia"/>
        </w:rPr>
        <w:t>：1、信用评分低于70分；2、当年出现经自律委员会认定应当直接列入</w:t>
      </w:r>
      <w:r>
        <w:rPr>
          <w:rFonts w:ascii="宋体" w:hAnsi="宋体"/>
        </w:rPr>
        <w:t>“预警”</w:t>
      </w:r>
      <w:r>
        <w:rPr>
          <w:rFonts w:ascii="Times New Roman" w:hAnsi="Times New Roman" w:eastAsiaTheme="minorEastAsia"/>
        </w:rPr>
        <w:t>等级情形的。</w:t>
      </w:r>
    </w:p>
  </w:footnote>
  <w:footnote w:id="6">
    <w:p w14:paraId="58174728">
      <w:pPr>
        <w:pStyle w:val="15"/>
      </w:pPr>
      <w:r>
        <w:rPr>
          <w:rStyle w:val="25"/>
          <w:rFonts w:ascii="Times New Roman" w:hAnsi="Times New Roman" w:eastAsiaTheme="minorEastAsia"/>
        </w:rPr>
        <w:footnoteRef/>
      </w:r>
      <w:r>
        <w:rPr>
          <w:rFonts w:ascii="Times New Roman" w:hAnsi="Times New Roman" w:eastAsiaTheme="minorEastAsia"/>
        </w:rPr>
        <w:t>有以下情形之一时，信用等级为</w:t>
      </w:r>
      <w:r>
        <w:rPr>
          <w:rFonts w:ascii="宋体" w:hAnsi="宋体"/>
        </w:rPr>
        <w:t>“</w:t>
      </w:r>
      <w:r>
        <w:rPr>
          <w:rFonts w:ascii="宋体" w:hAnsi="宋体"/>
          <w:b/>
        </w:rPr>
        <w:t>失信</w:t>
      </w:r>
      <w:r>
        <w:rPr>
          <w:rFonts w:ascii="宋体" w:hAnsi="宋体"/>
        </w:rPr>
        <w:t>”</w:t>
      </w:r>
      <w:r>
        <w:rPr>
          <w:rFonts w:ascii="Times New Roman" w:hAnsi="Times New Roman" w:eastAsiaTheme="minorEastAsia"/>
        </w:rPr>
        <w:t>：1、信用评分低于60分；2、当年出现经自律委员会认定应当直接列入</w:t>
      </w:r>
      <w:r>
        <w:rPr>
          <w:rFonts w:ascii="宋体" w:hAnsi="宋体"/>
        </w:rPr>
        <w:t>“失信”</w:t>
      </w:r>
      <w:r>
        <w:rPr>
          <w:rFonts w:ascii="Times New Roman" w:hAnsi="Times New Roman" w:eastAsiaTheme="minorEastAsia"/>
        </w:rPr>
        <w:t>等级的。</w:t>
      </w:r>
    </w:p>
  </w:footnote>
  <w:footnote w:id="7">
    <w:p w14:paraId="1C616404">
      <w:pPr>
        <w:pStyle w:val="15"/>
      </w:pPr>
      <w:r>
        <w:rPr>
          <w:rStyle w:val="25"/>
        </w:rPr>
        <w:footnoteRef/>
      </w:r>
      <w:r>
        <w:t>指在</w:t>
      </w:r>
      <w:r>
        <w:rPr>
          <w:rFonts w:hint="eastAsia"/>
        </w:rPr>
        <w:t>广州市房地产中介信用管理系统中“状态”为“在职”的从业人员。</w:t>
      </w:r>
    </w:p>
  </w:footnote>
  <w:footnote w:id="8">
    <w:p w14:paraId="7744F330">
      <w:pPr>
        <w:pStyle w:val="15"/>
      </w:pPr>
      <w:r>
        <w:rPr>
          <w:rStyle w:val="25"/>
        </w:rPr>
        <w:footnoteRef/>
      </w:r>
      <w:r>
        <w:rPr>
          <w:rFonts w:hint="eastAsia"/>
        </w:rPr>
        <w:t>根据《广州市住房和城乡建设局关于2024年广州市房地产中介机构检查结果的通报》。</w:t>
      </w:r>
    </w:p>
  </w:footnote>
  <w:footnote w:id="9">
    <w:p w14:paraId="5F765C80">
      <w:pPr>
        <w:pStyle w:val="15"/>
      </w:pPr>
      <w:r>
        <w:rPr>
          <w:rStyle w:val="25"/>
        </w:rPr>
        <w:footnoteRef/>
      </w:r>
      <w:r>
        <w:rPr>
          <w:rFonts w:hint="eastAsia"/>
        </w:rPr>
        <w:t>本报告不对已注销备案证书的中介机构做信用等级评价及分析。</w:t>
      </w:r>
    </w:p>
  </w:footnote>
  <w:footnote w:id="10">
    <w:p w14:paraId="458CE2AD">
      <w:pPr>
        <w:pStyle w:val="15"/>
      </w:pPr>
      <w:r>
        <w:rPr>
          <w:rStyle w:val="25"/>
        </w:rPr>
        <w:footnoteRef/>
      </w:r>
      <w:r>
        <w:rPr>
          <w:rFonts w:hint="eastAsia"/>
        </w:rPr>
        <w:t>①备案门店数据统计时间截至2024年12月31日；</w:t>
      </w:r>
    </w:p>
    <w:p w14:paraId="7BF5FA9E">
      <w:pPr>
        <w:pStyle w:val="15"/>
      </w:pPr>
      <w:r>
        <w:rPr>
          <w:rFonts w:hint="eastAsia"/>
        </w:rPr>
        <w:t>②涉及加盟业务的品牌下辖的中介机构名单，可登录市中介协会官网（www.gzrea.org.cn）-新闻中心-通知公告栏目查看。</w:t>
      </w:r>
    </w:p>
  </w:footnote>
  <w:footnote w:id="11">
    <w:p w14:paraId="013A83FA">
      <w:pPr>
        <w:pStyle w:val="15"/>
      </w:pPr>
      <w:r>
        <w:rPr>
          <w:rStyle w:val="25"/>
        </w:rPr>
        <w:footnoteRef/>
      </w:r>
      <w:r>
        <w:rPr>
          <w:rFonts w:hint="eastAsia"/>
        </w:rPr>
        <w:t>品牌信用评分评级计算涉及加盟机构信用分，可能存在品牌分和信用等级与前述直营总机构不一致的情况。</w:t>
      </w:r>
      <w:bookmarkStart w:id="393" w:name="_GoBack"/>
      <w:bookmarkEnd w:id="393"/>
    </w:p>
  </w:footnote>
  <w:footnote w:id="12">
    <w:p w14:paraId="424C4F6A">
      <w:pPr>
        <w:pStyle w:val="15"/>
      </w:pPr>
      <w:r>
        <w:rPr>
          <w:rStyle w:val="25"/>
        </w:rPr>
        <w:footnoteRef/>
      </w:r>
      <w:r>
        <w:rPr>
          <w:rFonts w:hint="eastAsia"/>
        </w:rPr>
        <w:t>本报告不对非记录在职的从业人员做信用等级评价及分析。</w:t>
      </w:r>
    </w:p>
  </w:footnote>
  <w:footnote w:id="13">
    <w:p w14:paraId="13D1261E">
      <w:pPr>
        <w:pStyle w:val="15"/>
      </w:pPr>
      <w:r>
        <w:rPr>
          <w:rStyle w:val="25"/>
        </w:rPr>
        <w:footnoteRef/>
      </w:r>
      <w:r>
        <w:rPr>
          <w:rFonts w:hint="eastAsia"/>
        </w:rPr>
        <w:t>二次投诉主要是指消费者对同一事件多渠道多次反映。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85D9C"/>
    <w:multiLevelType w:val="multilevel"/>
    <w:tmpl w:val="15685D9C"/>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documentProtection w:enforcement="0"/>
  <w:defaultTabStop w:val="420"/>
  <w:drawingGridVerticalSpacing w:val="156"/>
  <w:noPunctuationKerning w:val="1"/>
  <w:characterSpacingControl w:val="compressPunctuation"/>
  <w:noLineBreaksAfter w:lang="zh-CN" w:val="$([{£¥·‘“〈《「『【〔〖〝﹙﹛﹝＄（．［｛￡￥"/>
  <w:noLineBreaksBefore w:lang="zh-CN" w:val="!%),.:;&gt;?]}¢¨°·ˇˉ―‖’”…‰′″›℃∶、。〃〉》」』】〕〗〞︶︺︾﹀﹄﹚﹜﹞！＂％＇），．：；？］｀｜｝～￠"/>
  <w:footnotePr>
    <w:footnote w:id="28"/>
    <w:footnote w:id="2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mMDFkY2ZjY2I3MGFjMTEwYzZjYzc3MjcxM2Y3YjMifQ=="/>
  </w:docVars>
  <w:rsids>
    <w:rsidRoot w:val="00082FFA"/>
    <w:rsid w:val="00000051"/>
    <w:rsid w:val="00000AA6"/>
    <w:rsid w:val="0000253F"/>
    <w:rsid w:val="00002C26"/>
    <w:rsid w:val="00003FE2"/>
    <w:rsid w:val="00004843"/>
    <w:rsid w:val="00004C24"/>
    <w:rsid w:val="00005814"/>
    <w:rsid w:val="00005AEE"/>
    <w:rsid w:val="00005DB2"/>
    <w:rsid w:val="00006564"/>
    <w:rsid w:val="00007488"/>
    <w:rsid w:val="000076A0"/>
    <w:rsid w:val="00007A0F"/>
    <w:rsid w:val="00007DDB"/>
    <w:rsid w:val="00007E72"/>
    <w:rsid w:val="0001074C"/>
    <w:rsid w:val="00011A6B"/>
    <w:rsid w:val="00011FD7"/>
    <w:rsid w:val="00012734"/>
    <w:rsid w:val="00014863"/>
    <w:rsid w:val="00014C6D"/>
    <w:rsid w:val="000161E3"/>
    <w:rsid w:val="00016428"/>
    <w:rsid w:val="000176CA"/>
    <w:rsid w:val="0002123B"/>
    <w:rsid w:val="00025A0D"/>
    <w:rsid w:val="00026B34"/>
    <w:rsid w:val="0002705C"/>
    <w:rsid w:val="00027243"/>
    <w:rsid w:val="000305E2"/>
    <w:rsid w:val="00030F61"/>
    <w:rsid w:val="0003184C"/>
    <w:rsid w:val="00031E5C"/>
    <w:rsid w:val="00032A8E"/>
    <w:rsid w:val="00034484"/>
    <w:rsid w:val="00034802"/>
    <w:rsid w:val="00034C6B"/>
    <w:rsid w:val="00035011"/>
    <w:rsid w:val="0003510E"/>
    <w:rsid w:val="00035212"/>
    <w:rsid w:val="00035DE1"/>
    <w:rsid w:val="00035EC7"/>
    <w:rsid w:val="00035FF9"/>
    <w:rsid w:val="00036270"/>
    <w:rsid w:val="000362A8"/>
    <w:rsid w:val="000369C6"/>
    <w:rsid w:val="000370AC"/>
    <w:rsid w:val="000370DC"/>
    <w:rsid w:val="00041C85"/>
    <w:rsid w:val="00042697"/>
    <w:rsid w:val="000437AF"/>
    <w:rsid w:val="00045A50"/>
    <w:rsid w:val="00046FAC"/>
    <w:rsid w:val="00047604"/>
    <w:rsid w:val="0005061A"/>
    <w:rsid w:val="000523EB"/>
    <w:rsid w:val="00052536"/>
    <w:rsid w:val="00052E94"/>
    <w:rsid w:val="000534E2"/>
    <w:rsid w:val="000540DC"/>
    <w:rsid w:val="000541EE"/>
    <w:rsid w:val="000541F8"/>
    <w:rsid w:val="00054C85"/>
    <w:rsid w:val="00056F5A"/>
    <w:rsid w:val="00057BB4"/>
    <w:rsid w:val="00060612"/>
    <w:rsid w:val="00060B27"/>
    <w:rsid w:val="00060E27"/>
    <w:rsid w:val="0006122E"/>
    <w:rsid w:val="000612C9"/>
    <w:rsid w:val="00061458"/>
    <w:rsid w:val="00061BAB"/>
    <w:rsid w:val="0006212B"/>
    <w:rsid w:val="0006256E"/>
    <w:rsid w:val="00062A99"/>
    <w:rsid w:val="00063B3E"/>
    <w:rsid w:val="00065E4F"/>
    <w:rsid w:val="00066437"/>
    <w:rsid w:val="000665BB"/>
    <w:rsid w:val="00066B39"/>
    <w:rsid w:val="00066DDA"/>
    <w:rsid w:val="00067047"/>
    <w:rsid w:val="00067397"/>
    <w:rsid w:val="000704F8"/>
    <w:rsid w:val="00070F3E"/>
    <w:rsid w:val="0007158D"/>
    <w:rsid w:val="00071B3F"/>
    <w:rsid w:val="00071C2E"/>
    <w:rsid w:val="000722D2"/>
    <w:rsid w:val="000728C5"/>
    <w:rsid w:val="00073499"/>
    <w:rsid w:val="000736A2"/>
    <w:rsid w:val="00073A81"/>
    <w:rsid w:val="00075086"/>
    <w:rsid w:val="00075173"/>
    <w:rsid w:val="000805C0"/>
    <w:rsid w:val="00080EF2"/>
    <w:rsid w:val="0008119D"/>
    <w:rsid w:val="00081FCD"/>
    <w:rsid w:val="00082493"/>
    <w:rsid w:val="0008258F"/>
    <w:rsid w:val="00082FFA"/>
    <w:rsid w:val="0008315F"/>
    <w:rsid w:val="000848C5"/>
    <w:rsid w:val="00084D5A"/>
    <w:rsid w:val="00086477"/>
    <w:rsid w:val="00086C69"/>
    <w:rsid w:val="00087EAA"/>
    <w:rsid w:val="0009041F"/>
    <w:rsid w:val="0009083C"/>
    <w:rsid w:val="000910C1"/>
    <w:rsid w:val="00091164"/>
    <w:rsid w:val="0009156E"/>
    <w:rsid w:val="000920FA"/>
    <w:rsid w:val="00092D97"/>
    <w:rsid w:val="00092EEC"/>
    <w:rsid w:val="00093429"/>
    <w:rsid w:val="00094BDF"/>
    <w:rsid w:val="00096115"/>
    <w:rsid w:val="000966C9"/>
    <w:rsid w:val="00096709"/>
    <w:rsid w:val="0009673D"/>
    <w:rsid w:val="00096DF7"/>
    <w:rsid w:val="000A1A31"/>
    <w:rsid w:val="000A209D"/>
    <w:rsid w:val="000A33CF"/>
    <w:rsid w:val="000A3497"/>
    <w:rsid w:val="000A34B0"/>
    <w:rsid w:val="000A4B20"/>
    <w:rsid w:val="000A4D30"/>
    <w:rsid w:val="000A4D88"/>
    <w:rsid w:val="000A4FC4"/>
    <w:rsid w:val="000A4FFD"/>
    <w:rsid w:val="000A509F"/>
    <w:rsid w:val="000A5297"/>
    <w:rsid w:val="000A5EC8"/>
    <w:rsid w:val="000A7529"/>
    <w:rsid w:val="000B0352"/>
    <w:rsid w:val="000B0D49"/>
    <w:rsid w:val="000B0E40"/>
    <w:rsid w:val="000B1317"/>
    <w:rsid w:val="000B1AF9"/>
    <w:rsid w:val="000B1F8B"/>
    <w:rsid w:val="000B61B7"/>
    <w:rsid w:val="000B78EF"/>
    <w:rsid w:val="000B7906"/>
    <w:rsid w:val="000C07C1"/>
    <w:rsid w:val="000C0B32"/>
    <w:rsid w:val="000C131F"/>
    <w:rsid w:val="000C183E"/>
    <w:rsid w:val="000C3A36"/>
    <w:rsid w:val="000C3E19"/>
    <w:rsid w:val="000C47CD"/>
    <w:rsid w:val="000C5BD9"/>
    <w:rsid w:val="000C6CCA"/>
    <w:rsid w:val="000D19A1"/>
    <w:rsid w:val="000D2F6A"/>
    <w:rsid w:val="000D360E"/>
    <w:rsid w:val="000D3772"/>
    <w:rsid w:val="000D3871"/>
    <w:rsid w:val="000D3DD4"/>
    <w:rsid w:val="000D4435"/>
    <w:rsid w:val="000D48F1"/>
    <w:rsid w:val="000D501D"/>
    <w:rsid w:val="000D5270"/>
    <w:rsid w:val="000D770B"/>
    <w:rsid w:val="000D788E"/>
    <w:rsid w:val="000E0967"/>
    <w:rsid w:val="000E0D7F"/>
    <w:rsid w:val="000E1593"/>
    <w:rsid w:val="000E20F5"/>
    <w:rsid w:val="000E2913"/>
    <w:rsid w:val="000E29CB"/>
    <w:rsid w:val="000E5634"/>
    <w:rsid w:val="000E61C1"/>
    <w:rsid w:val="000E647C"/>
    <w:rsid w:val="000E760F"/>
    <w:rsid w:val="000E775D"/>
    <w:rsid w:val="000F0942"/>
    <w:rsid w:val="000F0E5A"/>
    <w:rsid w:val="000F0FEB"/>
    <w:rsid w:val="000F1787"/>
    <w:rsid w:val="000F27D4"/>
    <w:rsid w:val="000F2B53"/>
    <w:rsid w:val="000F43CD"/>
    <w:rsid w:val="000F496F"/>
    <w:rsid w:val="000F49BF"/>
    <w:rsid w:val="000F4C06"/>
    <w:rsid w:val="000F6C73"/>
    <w:rsid w:val="000F6CC1"/>
    <w:rsid w:val="000F7CB1"/>
    <w:rsid w:val="0010026C"/>
    <w:rsid w:val="0010125A"/>
    <w:rsid w:val="001014FF"/>
    <w:rsid w:val="00102A2D"/>
    <w:rsid w:val="00103ED2"/>
    <w:rsid w:val="00105219"/>
    <w:rsid w:val="0010531B"/>
    <w:rsid w:val="0010569C"/>
    <w:rsid w:val="00105C03"/>
    <w:rsid w:val="001067E2"/>
    <w:rsid w:val="00106878"/>
    <w:rsid w:val="00106C58"/>
    <w:rsid w:val="0011051D"/>
    <w:rsid w:val="001106F2"/>
    <w:rsid w:val="0011076C"/>
    <w:rsid w:val="00110770"/>
    <w:rsid w:val="00110C86"/>
    <w:rsid w:val="0011221E"/>
    <w:rsid w:val="00113ABB"/>
    <w:rsid w:val="0011488A"/>
    <w:rsid w:val="00114904"/>
    <w:rsid w:val="00115A5C"/>
    <w:rsid w:val="00115E9F"/>
    <w:rsid w:val="001165B5"/>
    <w:rsid w:val="0011665D"/>
    <w:rsid w:val="001200AB"/>
    <w:rsid w:val="00120E1C"/>
    <w:rsid w:val="001211E1"/>
    <w:rsid w:val="00121900"/>
    <w:rsid w:val="001220D8"/>
    <w:rsid w:val="00122596"/>
    <w:rsid w:val="00123203"/>
    <w:rsid w:val="00124101"/>
    <w:rsid w:val="00125312"/>
    <w:rsid w:val="00126290"/>
    <w:rsid w:val="00126572"/>
    <w:rsid w:val="001269B3"/>
    <w:rsid w:val="0012714D"/>
    <w:rsid w:val="00127C7C"/>
    <w:rsid w:val="00127E77"/>
    <w:rsid w:val="001303F8"/>
    <w:rsid w:val="001325B2"/>
    <w:rsid w:val="001333D0"/>
    <w:rsid w:val="00133E38"/>
    <w:rsid w:val="0013427B"/>
    <w:rsid w:val="001348B0"/>
    <w:rsid w:val="00134B19"/>
    <w:rsid w:val="0013563D"/>
    <w:rsid w:val="0013698A"/>
    <w:rsid w:val="001371B2"/>
    <w:rsid w:val="001378D5"/>
    <w:rsid w:val="00140648"/>
    <w:rsid w:val="00140C58"/>
    <w:rsid w:val="0014284B"/>
    <w:rsid w:val="00142E61"/>
    <w:rsid w:val="00143170"/>
    <w:rsid w:val="00143713"/>
    <w:rsid w:val="001439D0"/>
    <w:rsid w:val="00144148"/>
    <w:rsid w:val="001452C2"/>
    <w:rsid w:val="0014692A"/>
    <w:rsid w:val="0014739B"/>
    <w:rsid w:val="00147C61"/>
    <w:rsid w:val="00147D5C"/>
    <w:rsid w:val="001522CC"/>
    <w:rsid w:val="0015273D"/>
    <w:rsid w:val="0015323F"/>
    <w:rsid w:val="001540D2"/>
    <w:rsid w:val="001547A0"/>
    <w:rsid w:val="001548BB"/>
    <w:rsid w:val="00155C95"/>
    <w:rsid w:val="001566A2"/>
    <w:rsid w:val="00156918"/>
    <w:rsid w:val="0015734B"/>
    <w:rsid w:val="00157636"/>
    <w:rsid w:val="00157F10"/>
    <w:rsid w:val="00160416"/>
    <w:rsid w:val="00160F0F"/>
    <w:rsid w:val="001628FF"/>
    <w:rsid w:val="0016326D"/>
    <w:rsid w:val="00163603"/>
    <w:rsid w:val="00164972"/>
    <w:rsid w:val="00164D00"/>
    <w:rsid w:val="00165A5F"/>
    <w:rsid w:val="00165AA2"/>
    <w:rsid w:val="00165C32"/>
    <w:rsid w:val="00165D0B"/>
    <w:rsid w:val="00166199"/>
    <w:rsid w:val="00166C59"/>
    <w:rsid w:val="00166DB4"/>
    <w:rsid w:val="00167E0C"/>
    <w:rsid w:val="00171B45"/>
    <w:rsid w:val="001736C6"/>
    <w:rsid w:val="00173849"/>
    <w:rsid w:val="00173A2A"/>
    <w:rsid w:val="001755D7"/>
    <w:rsid w:val="0017669B"/>
    <w:rsid w:val="00180799"/>
    <w:rsid w:val="00180AFD"/>
    <w:rsid w:val="001810B1"/>
    <w:rsid w:val="001818F2"/>
    <w:rsid w:val="00182C53"/>
    <w:rsid w:val="00183FAB"/>
    <w:rsid w:val="00185827"/>
    <w:rsid w:val="00186133"/>
    <w:rsid w:val="00186662"/>
    <w:rsid w:val="00186D80"/>
    <w:rsid w:val="001877E1"/>
    <w:rsid w:val="00187AC8"/>
    <w:rsid w:val="001903E3"/>
    <w:rsid w:val="0019140A"/>
    <w:rsid w:val="00191A94"/>
    <w:rsid w:val="00192024"/>
    <w:rsid w:val="001923BF"/>
    <w:rsid w:val="00195153"/>
    <w:rsid w:val="001952B8"/>
    <w:rsid w:val="0019766F"/>
    <w:rsid w:val="001A0D4F"/>
    <w:rsid w:val="001A0DA0"/>
    <w:rsid w:val="001A1E9C"/>
    <w:rsid w:val="001A3754"/>
    <w:rsid w:val="001A3A07"/>
    <w:rsid w:val="001A3F42"/>
    <w:rsid w:val="001A4AD5"/>
    <w:rsid w:val="001A5196"/>
    <w:rsid w:val="001A53F1"/>
    <w:rsid w:val="001A6DDA"/>
    <w:rsid w:val="001B03C2"/>
    <w:rsid w:val="001B10DE"/>
    <w:rsid w:val="001B20CF"/>
    <w:rsid w:val="001B2846"/>
    <w:rsid w:val="001B35ED"/>
    <w:rsid w:val="001B419C"/>
    <w:rsid w:val="001B4255"/>
    <w:rsid w:val="001B5676"/>
    <w:rsid w:val="001B7B66"/>
    <w:rsid w:val="001B7EA8"/>
    <w:rsid w:val="001C000F"/>
    <w:rsid w:val="001C0D29"/>
    <w:rsid w:val="001C0D4D"/>
    <w:rsid w:val="001C225A"/>
    <w:rsid w:val="001C24B9"/>
    <w:rsid w:val="001C263D"/>
    <w:rsid w:val="001C3608"/>
    <w:rsid w:val="001C3A85"/>
    <w:rsid w:val="001C3C53"/>
    <w:rsid w:val="001C4E2F"/>
    <w:rsid w:val="001C72AC"/>
    <w:rsid w:val="001D08A8"/>
    <w:rsid w:val="001D1B68"/>
    <w:rsid w:val="001D204F"/>
    <w:rsid w:val="001D30E0"/>
    <w:rsid w:val="001D32F2"/>
    <w:rsid w:val="001D3B63"/>
    <w:rsid w:val="001D6545"/>
    <w:rsid w:val="001D6D9A"/>
    <w:rsid w:val="001D7BBD"/>
    <w:rsid w:val="001D7DE3"/>
    <w:rsid w:val="001E04AC"/>
    <w:rsid w:val="001E0C20"/>
    <w:rsid w:val="001E0C7E"/>
    <w:rsid w:val="001E1090"/>
    <w:rsid w:val="001E1632"/>
    <w:rsid w:val="001E23F6"/>
    <w:rsid w:val="001E2608"/>
    <w:rsid w:val="001E4903"/>
    <w:rsid w:val="001E6038"/>
    <w:rsid w:val="001E6CE6"/>
    <w:rsid w:val="001E705E"/>
    <w:rsid w:val="001E74AA"/>
    <w:rsid w:val="001E7FBB"/>
    <w:rsid w:val="001F01A7"/>
    <w:rsid w:val="001F186F"/>
    <w:rsid w:val="001F194D"/>
    <w:rsid w:val="001F297E"/>
    <w:rsid w:val="001F409D"/>
    <w:rsid w:val="001F40C1"/>
    <w:rsid w:val="001F423E"/>
    <w:rsid w:val="001F44DC"/>
    <w:rsid w:val="001F4B3D"/>
    <w:rsid w:val="001F4DF2"/>
    <w:rsid w:val="001F5080"/>
    <w:rsid w:val="001F540E"/>
    <w:rsid w:val="001F63DE"/>
    <w:rsid w:val="001F66EB"/>
    <w:rsid w:val="001F7144"/>
    <w:rsid w:val="0020028F"/>
    <w:rsid w:val="002006BF"/>
    <w:rsid w:val="00202BC3"/>
    <w:rsid w:val="002045BA"/>
    <w:rsid w:val="002049EE"/>
    <w:rsid w:val="00204A4C"/>
    <w:rsid w:val="00205832"/>
    <w:rsid w:val="00205868"/>
    <w:rsid w:val="00206504"/>
    <w:rsid w:val="0020688E"/>
    <w:rsid w:val="002068E4"/>
    <w:rsid w:val="0020717D"/>
    <w:rsid w:val="0020719E"/>
    <w:rsid w:val="00207201"/>
    <w:rsid w:val="002075CD"/>
    <w:rsid w:val="002100C6"/>
    <w:rsid w:val="00211199"/>
    <w:rsid w:val="002116EB"/>
    <w:rsid w:val="002117C2"/>
    <w:rsid w:val="002118CD"/>
    <w:rsid w:val="00212A72"/>
    <w:rsid w:val="002135AB"/>
    <w:rsid w:val="002154F1"/>
    <w:rsid w:val="002178C2"/>
    <w:rsid w:val="00220455"/>
    <w:rsid w:val="0022217C"/>
    <w:rsid w:val="002222C2"/>
    <w:rsid w:val="00222AF8"/>
    <w:rsid w:val="00222DCE"/>
    <w:rsid w:val="002231FC"/>
    <w:rsid w:val="002237D4"/>
    <w:rsid w:val="00223B3A"/>
    <w:rsid w:val="00223F5A"/>
    <w:rsid w:val="0022421C"/>
    <w:rsid w:val="00226871"/>
    <w:rsid w:val="002273B5"/>
    <w:rsid w:val="00227F97"/>
    <w:rsid w:val="00230185"/>
    <w:rsid w:val="00231592"/>
    <w:rsid w:val="00231B9C"/>
    <w:rsid w:val="00231BC1"/>
    <w:rsid w:val="00233829"/>
    <w:rsid w:val="00233C3E"/>
    <w:rsid w:val="0023519B"/>
    <w:rsid w:val="002351E1"/>
    <w:rsid w:val="0023608C"/>
    <w:rsid w:val="00237180"/>
    <w:rsid w:val="0024059F"/>
    <w:rsid w:val="00240BFA"/>
    <w:rsid w:val="002415A2"/>
    <w:rsid w:val="00241FB1"/>
    <w:rsid w:val="002435EC"/>
    <w:rsid w:val="00243CB5"/>
    <w:rsid w:val="002445C3"/>
    <w:rsid w:val="00246D39"/>
    <w:rsid w:val="00247335"/>
    <w:rsid w:val="00247521"/>
    <w:rsid w:val="002505FE"/>
    <w:rsid w:val="00251324"/>
    <w:rsid w:val="002526EB"/>
    <w:rsid w:val="00252D3B"/>
    <w:rsid w:val="00253CD5"/>
    <w:rsid w:val="002546A9"/>
    <w:rsid w:val="00254E76"/>
    <w:rsid w:val="00254F3B"/>
    <w:rsid w:val="00255A86"/>
    <w:rsid w:val="00255CF5"/>
    <w:rsid w:val="002562ED"/>
    <w:rsid w:val="0025644B"/>
    <w:rsid w:val="00260242"/>
    <w:rsid w:val="00260711"/>
    <w:rsid w:val="00260B6A"/>
    <w:rsid w:val="0026199B"/>
    <w:rsid w:val="002620BD"/>
    <w:rsid w:val="002636CB"/>
    <w:rsid w:val="0026372E"/>
    <w:rsid w:val="00264198"/>
    <w:rsid w:val="002644D3"/>
    <w:rsid w:val="00264517"/>
    <w:rsid w:val="0026487A"/>
    <w:rsid w:val="00264AAA"/>
    <w:rsid w:val="00266400"/>
    <w:rsid w:val="0026681C"/>
    <w:rsid w:val="00266B7D"/>
    <w:rsid w:val="002673D5"/>
    <w:rsid w:val="00267A81"/>
    <w:rsid w:val="00267F8E"/>
    <w:rsid w:val="0027026C"/>
    <w:rsid w:val="00270525"/>
    <w:rsid w:val="00270861"/>
    <w:rsid w:val="00270AF6"/>
    <w:rsid w:val="002718E0"/>
    <w:rsid w:val="00271A87"/>
    <w:rsid w:val="002723CF"/>
    <w:rsid w:val="002734E2"/>
    <w:rsid w:val="00273594"/>
    <w:rsid w:val="00273CAE"/>
    <w:rsid w:val="00274774"/>
    <w:rsid w:val="00275961"/>
    <w:rsid w:val="00275E5B"/>
    <w:rsid w:val="00276705"/>
    <w:rsid w:val="00276C11"/>
    <w:rsid w:val="00277209"/>
    <w:rsid w:val="0027733A"/>
    <w:rsid w:val="00277A16"/>
    <w:rsid w:val="00277A6A"/>
    <w:rsid w:val="00277F91"/>
    <w:rsid w:val="00280608"/>
    <w:rsid w:val="0028070F"/>
    <w:rsid w:val="00281A4C"/>
    <w:rsid w:val="002822F9"/>
    <w:rsid w:val="00282BB7"/>
    <w:rsid w:val="002830B2"/>
    <w:rsid w:val="002837F6"/>
    <w:rsid w:val="00283AA2"/>
    <w:rsid w:val="00283B4E"/>
    <w:rsid w:val="0028427D"/>
    <w:rsid w:val="002844F2"/>
    <w:rsid w:val="002846EB"/>
    <w:rsid w:val="00284C0F"/>
    <w:rsid w:val="002850B0"/>
    <w:rsid w:val="00285C87"/>
    <w:rsid w:val="002874BA"/>
    <w:rsid w:val="00287767"/>
    <w:rsid w:val="00287E1D"/>
    <w:rsid w:val="00287F27"/>
    <w:rsid w:val="0029050A"/>
    <w:rsid w:val="00290B33"/>
    <w:rsid w:val="002917DF"/>
    <w:rsid w:val="00294AB7"/>
    <w:rsid w:val="00295268"/>
    <w:rsid w:val="002956B3"/>
    <w:rsid w:val="002956C1"/>
    <w:rsid w:val="002957DB"/>
    <w:rsid w:val="00295889"/>
    <w:rsid w:val="00295963"/>
    <w:rsid w:val="00295A87"/>
    <w:rsid w:val="00295CDD"/>
    <w:rsid w:val="00296080"/>
    <w:rsid w:val="00296861"/>
    <w:rsid w:val="00296896"/>
    <w:rsid w:val="00296D69"/>
    <w:rsid w:val="00296E00"/>
    <w:rsid w:val="002977EF"/>
    <w:rsid w:val="00297E5E"/>
    <w:rsid w:val="002A1932"/>
    <w:rsid w:val="002A2B5A"/>
    <w:rsid w:val="002A2FF9"/>
    <w:rsid w:val="002A35E6"/>
    <w:rsid w:val="002A505C"/>
    <w:rsid w:val="002A5715"/>
    <w:rsid w:val="002A5B2D"/>
    <w:rsid w:val="002A5D84"/>
    <w:rsid w:val="002A6D99"/>
    <w:rsid w:val="002B0075"/>
    <w:rsid w:val="002B1AAC"/>
    <w:rsid w:val="002B1B27"/>
    <w:rsid w:val="002B20B8"/>
    <w:rsid w:val="002B2ABA"/>
    <w:rsid w:val="002B2DFF"/>
    <w:rsid w:val="002B5368"/>
    <w:rsid w:val="002B5571"/>
    <w:rsid w:val="002B5BD2"/>
    <w:rsid w:val="002B6908"/>
    <w:rsid w:val="002B7343"/>
    <w:rsid w:val="002C013E"/>
    <w:rsid w:val="002C096C"/>
    <w:rsid w:val="002C0BC3"/>
    <w:rsid w:val="002C18A3"/>
    <w:rsid w:val="002C21CC"/>
    <w:rsid w:val="002C2894"/>
    <w:rsid w:val="002C2C4E"/>
    <w:rsid w:val="002C3923"/>
    <w:rsid w:val="002C51FD"/>
    <w:rsid w:val="002C5402"/>
    <w:rsid w:val="002C5DDC"/>
    <w:rsid w:val="002C7313"/>
    <w:rsid w:val="002D08B0"/>
    <w:rsid w:val="002D0C5A"/>
    <w:rsid w:val="002D1254"/>
    <w:rsid w:val="002D188E"/>
    <w:rsid w:val="002D18CB"/>
    <w:rsid w:val="002D1EB8"/>
    <w:rsid w:val="002D1F07"/>
    <w:rsid w:val="002D1F38"/>
    <w:rsid w:val="002D2C78"/>
    <w:rsid w:val="002D54CE"/>
    <w:rsid w:val="002D5717"/>
    <w:rsid w:val="002D7C7F"/>
    <w:rsid w:val="002D7F0A"/>
    <w:rsid w:val="002E088E"/>
    <w:rsid w:val="002E315E"/>
    <w:rsid w:val="002E3C1A"/>
    <w:rsid w:val="002E451F"/>
    <w:rsid w:val="002E4A1E"/>
    <w:rsid w:val="002E5478"/>
    <w:rsid w:val="002E59FF"/>
    <w:rsid w:val="002E5A91"/>
    <w:rsid w:val="002E5C5C"/>
    <w:rsid w:val="002E5F87"/>
    <w:rsid w:val="002E6B8C"/>
    <w:rsid w:val="002E74B9"/>
    <w:rsid w:val="002E7ECC"/>
    <w:rsid w:val="002E7FCA"/>
    <w:rsid w:val="002F0085"/>
    <w:rsid w:val="002F0780"/>
    <w:rsid w:val="002F0A30"/>
    <w:rsid w:val="002F0F0A"/>
    <w:rsid w:val="002F2177"/>
    <w:rsid w:val="002F21D3"/>
    <w:rsid w:val="002F2737"/>
    <w:rsid w:val="002F348C"/>
    <w:rsid w:val="002F360D"/>
    <w:rsid w:val="002F37E8"/>
    <w:rsid w:val="002F43F7"/>
    <w:rsid w:val="002F4C1B"/>
    <w:rsid w:val="002F4E64"/>
    <w:rsid w:val="0030078D"/>
    <w:rsid w:val="003010D7"/>
    <w:rsid w:val="003012A4"/>
    <w:rsid w:val="00302476"/>
    <w:rsid w:val="003027E3"/>
    <w:rsid w:val="00303049"/>
    <w:rsid w:val="003034DB"/>
    <w:rsid w:val="00304FD4"/>
    <w:rsid w:val="00305036"/>
    <w:rsid w:val="0030509D"/>
    <w:rsid w:val="003060C7"/>
    <w:rsid w:val="00306348"/>
    <w:rsid w:val="003064DF"/>
    <w:rsid w:val="00306C34"/>
    <w:rsid w:val="00307850"/>
    <w:rsid w:val="003106F7"/>
    <w:rsid w:val="003108FE"/>
    <w:rsid w:val="003111AE"/>
    <w:rsid w:val="00311545"/>
    <w:rsid w:val="00311A38"/>
    <w:rsid w:val="00311B67"/>
    <w:rsid w:val="00311F9F"/>
    <w:rsid w:val="0031233D"/>
    <w:rsid w:val="00315BFB"/>
    <w:rsid w:val="0031665A"/>
    <w:rsid w:val="00316C1F"/>
    <w:rsid w:val="00316D22"/>
    <w:rsid w:val="003179AC"/>
    <w:rsid w:val="0032109A"/>
    <w:rsid w:val="00322897"/>
    <w:rsid w:val="00323294"/>
    <w:rsid w:val="00323CC5"/>
    <w:rsid w:val="00324A94"/>
    <w:rsid w:val="003272CA"/>
    <w:rsid w:val="00330452"/>
    <w:rsid w:val="00330C88"/>
    <w:rsid w:val="003312F0"/>
    <w:rsid w:val="0033161A"/>
    <w:rsid w:val="00331AA9"/>
    <w:rsid w:val="00332158"/>
    <w:rsid w:val="0033240E"/>
    <w:rsid w:val="00332499"/>
    <w:rsid w:val="0033317C"/>
    <w:rsid w:val="003364A8"/>
    <w:rsid w:val="0034050D"/>
    <w:rsid w:val="00340556"/>
    <w:rsid w:val="00340DE3"/>
    <w:rsid w:val="003428AF"/>
    <w:rsid w:val="0034299A"/>
    <w:rsid w:val="00345E5E"/>
    <w:rsid w:val="00345E87"/>
    <w:rsid w:val="00345EFA"/>
    <w:rsid w:val="003464B9"/>
    <w:rsid w:val="00347720"/>
    <w:rsid w:val="003478D8"/>
    <w:rsid w:val="00347979"/>
    <w:rsid w:val="00347EFD"/>
    <w:rsid w:val="003501CA"/>
    <w:rsid w:val="00350D7F"/>
    <w:rsid w:val="003511E7"/>
    <w:rsid w:val="0035219A"/>
    <w:rsid w:val="003522FF"/>
    <w:rsid w:val="0035238E"/>
    <w:rsid w:val="003526B1"/>
    <w:rsid w:val="00352F4D"/>
    <w:rsid w:val="003532DA"/>
    <w:rsid w:val="00354B11"/>
    <w:rsid w:val="003560F5"/>
    <w:rsid w:val="00357C5A"/>
    <w:rsid w:val="003600CC"/>
    <w:rsid w:val="00361387"/>
    <w:rsid w:val="00361EC0"/>
    <w:rsid w:val="0036212A"/>
    <w:rsid w:val="00363CF7"/>
    <w:rsid w:val="00363DB3"/>
    <w:rsid w:val="00364DAD"/>
    <w:rsid w:val="00365FC7"/>
    <w:rsid w:val="00366C49"/>
    <w:rsid w:val="0036703A"/>
    <w:rsid w:val="003674FE"/>
    <w:rsid w:val="00370567"/>
    <w:rsid w:val="00370CAF"/>
    <w:rsid w:val="0037112D"/>
    <w:rsid w:val="0037154C"/>
    <w:rsid w:val="00371E33"/>
    <w:rsid w:val="00372656"/>
    <w:rsid w:val="00373405"/>
    <w:rsid w:val="003746A5"/>
    <w:rsid w:val="00374ADD"/>
    <w:rsid w:val="00375057"/>
    <w:rsid w:val="0037509D"/>
    <w:rsid w:val="0037555D"/>
    <w:rsid w:val="00375A06"/>
    <w:rsid w:val="003771F4"/>
    <w:rsid w:val="003777E1"/>
    <w:rsid w:val="003802B0"/>
    <w:rsid w:val="003803CA"/>
    <w:rsid w:val="00381262"/>
    <w:rsid w:val="00383192"/>
    <w:rsid w:val="0038392D"/>
    <w:rsid w:val="00384952"/>
    <w:rsid w:val="003855E9"/>
    <w:rsid w:val="00387AF6"/>
    <w:rsid w:val="00387FF8"/>
    <w:rsid w:val="00390270"/>
    <w:rsid w:val="00390443"/>
    <w:rsid w:val="00392123"/>
    <w:rsid w:val="003944FA"/>
    <w:rsid w:val="0039460C"/>
    <w:rsid w:val="00394F68"/>
    <w:rsid w:val="00395671"/>
    <w:rsid w:val="00395E44"/>
    <w:rsid w:val="003962BF"/>
    <w:rsid w:val="0039646C"/>
    <w:rsid w:val="003A00FF"/>
    <w:rsid w:val="003A1544"/>
    <w:rsid w:val="003A1733"/>
    <w:rsid w:val="003A1F32"/>
    <w:rsid w:val="003A25A7"/>
    <w:rsid w:val="003A5A2F"/>
    <w:rsid w:val="003A5A31"/>
    <w:rsid w:val="003A66D0"/>
    <w:rsid w:val="003A7053"/>
    <w:rsid w:val="003A7A9D"/>
    <w:rsid w:val="003B099E"/>
    <w:rsid w:val="003B35FD"/>
    <w:rsid w:val="003B4B1F"/>
    <w:rsid w:val="003B4EEC"/>
    <w:rsid w:val="003B555C"/>
    <w:rsid w:val="003B57BE"/>
    <w:rsid w:val="003B5CC5"/>
    <w:rsid w:val="003B61C7"/>
    <w:rsid w:val="003B625E"/>
    <w:rsid w:val="003B65E9"/>
    <w:rsid w:val="003B6B85"/>
    <w:rsid w:val="003B6D38"/>
    <w:rsid w:val="003B7B6A"/>
    <w:rsid w:val="003B7FBF"/>
    <w:rsid w:val="003C09E4"/>
    <w:rsid w:val="003C311D"/>
    <w:rsid w:val="003C3386"/>
    <w:rsid w:val="003D01DF"/>
    <w:rsid w:val="003D1C14"/>
    <w:rsid w:val="003D2C78"/>
    <w:rsid w:val="003D3EB2"/>
    <w:rsid w:val="003D42D8"/>
    <w:rsid w:val="003D4506"/>
    <w:rsid w:val="003D454A"/>
    <w:rsid w:val="003D4846"/>
    <w:rsid w:val="003D4F5E"/>
    <w:rsid w:val="003D565B"/>
    <w:rsid w:val="003D6126"/>
    <w:rsid w:val="003D6502"/>
    <w:rsid w:val="003D6F62"/>
    <w:rsid w:val="003D74B5"/>
    <w:rsid w:val="003D7BB7"/>
    <w:rsid w:val="003D7F20"/>
    <w:rsid w:val="003E01A4"/>
    <w:rsid w:val="003E0355"/>
    <w:rsid w:val="003E1361"/>
    <w:rsid w:val="003E16FD"/>
    <w:rsid w:val="003E1AF0"/>
    <w:rsid w:val="003E1BDF"/>
    <w:rsid w:val="003E2334"/>
    <w:rsid w:val="003E3380"/>
    <w:rsid w:val="003E37F3"/>
    <w:rsid w:val="003E3BB6"/>
    <w:rsid w:val="003E587C"/>
    <w:rsid w:val="003E67D9"/>
    <w:rsid w:val="003F08D3"/>
    <w:rsid w:val="003F240B"/>
    <w:rsid w:val="003F25AD"/>
    <w:rsid w:val="003F25C2"/>
    <w:rsid w:val="003F26F2"/>
    <w:rsid w:val="003F2995"/>
    <w:rsid w:val="003F2F8C"/>
    <w:rsid w:val="003F3772"/>
    <w:rsid w:val="003F4AA8"/>
    <w:rsid w:val="003F5A6F"/>
    <w:rsid w:val="003F5E9C"/>
    <w:rsid w:val="003F5EF9"/>
    <w:rsid w:val="003F6A64"/>
    <w:rsid w:val="003F6F1D"/>
    <w:rsid w:val="003F71D3"/>
    <w:rsid w:val="003F7A43"/>
    <w:rsid w:val="003F7D9C"/>
    <w:rsid w:val="00400046"/>
    <w:rsid w:val="00400353"/>
    <w:rsid w:val="004024B9"/>
    <w:rsid w:val="00403A54"/>
    <w:rsid w:val="00403BE3"/>
    <w:rsid w:val="0040471F"/>
    <w:rsid w:val="0040479A"/>
    <w:rsid w:val="00404895"/>
    <w:rsid w:val="004049E5"/>
    <w:rsid w:val="00404E0D"/>
    <w:rsid w:val="0040704B"/>
    <w:rsid w:val="004073A9"/>
    <w:rsid w:val="00407EE0"/>
    <w:rsid w:val="00410EF4"/>
    <w:rsid w:val="00412217"/>
    <w:rsid w:val="00413172"/>
    <w:rsid w:val="004138B3"/>
    <w:rsid w:val="004152E9"/>
    <w:rsid w:val="0041550D"/>
    <w:rsid w:val="00415AE7"/>
    <w:rsid w:val="00416381"/>
    <w:rsid w:val="004166F9"/>
    <w:rsid w:val="004173CE"/>
    <w:rsid w:val="00417C88"/>
    <w:rsid w:val="00417FB1"/>
    <w:rsid w:val="004219EE"/>
    <w:rsid w:val="004221D4"/>
    <w:rsid w:val="00422E06"/>
    <w:rsid w:val="0042389F"/>
    <w:rsid w:val="00424C11"/>
    <w:rsid w:val="00425AE9"/>
    <w:rsid w:val="00425D50"/>
    <w:rsid w:val="004264D5"/>
    <w:rsid w:val="00426B01"/>
    <w:rsid w:val="004273A3"/>
    <w:rsid w:val="004274B0"/>
    <w:rsid w:val="00431ED6"/>
    <w:rsid w:val="0043245D"/>
    <w:rsid w:val="00432B91"/>
    <w:rsid w:val="0043341E"/>
    <w:rsid w:val="00433C41"/>
    <w:rsid w:val="0043523F"/>
    <w:rsid w:val="004362CA"/>
    <w:rsid w:val="0043732E"/>
    <w:rsid w:val="00437624"/>
    <w:rsid w:val="00437B10"/>
    <w:rsid w:val="00437DE9"/>
    <w:rsid w:val="00437E84"/>
    <w:rsid w:val="00440178"/>
    <w:rsid w:val="00440988"/>
    <w:rsid w:val="00441649"/>
    <w:rsid w:val="0044165E"/>
    <w:rsid w:val="00441D26"/>
    <w:rsid w:val="00442C1A"/>
    <w:rsid w:val="004436D0"/>
    <w:rsid w:val="0044440A"/>
    <w:rsid w:val="00445355"/>
    <w:rsid w:val="00445A64"/>
    <w:rsid w:val="00445D7C"/>
    <w:rsid w:val="00446E86"/>
    <w:rsid w:val="00447A61"/>
    <w:rsid w:val="00447C32"/>
    <w:rsid w:val="0045015A"/>
    <w:rsid w:val="00450404"/>
    <w:rsid w:val="00450FAC"/>
    <w:rsid w:val="004515CD"/>
    <w:rsid w:val="00451BA7"/>
    <w:rsid w:val="0045218E"/>
    <w:rsid w:val="004536BF"/>
    <w:rsid w:val="00454472"/>
    <w:rsid w:val="004550B3"/>
    <w:rsid w:val="00455386"/>
    <w:rsid w:val="004557C8"/>
    <w:rsid w:val="00455863"/>
    <w:rsid w:val="00455C06"/>
    <w:rsid w:val="004560ED"/>
    <w:rsid w:val="00456CEE"/>
    <w:rsid w:val="00456DDA"/>
    <w:rsid w:val="00456F47"/>
    <w:rsid w:val="004573D3"/>
    <w:rsid w:val="00460E8F"/>
    <w:rsid w:val="00461ECB"/>
    <w:rsid w:val="0046202B"/>
    <w:rsid w:val="004634FA"/>
    <w:rsid w:val="00464777"/>
    <w:rsid w:val="00464BE9"/>
    <w:rsid w:val="00464E95"/>
    <w:rsid w:val="00465328"/>
    <w:rsid w:val="00466772"/>
    <w:rsid w:val="00466AC3"/>
    <w:rsid w:val="0046706A"/>
    <w:rsid w:val="00470816"/>
    <w:rsid w:val="00471512"/>
    <w:rsid w:val="00471A07"/>
    <w:rsid w:val="00471A68"/>
    <w:rsid w:val="00471D13"/>
    <w:rsid w:val="004730F9"/>
    <w:rsid w:val="0047332E"/>
    <w:rsid w:val="004734C6"/>
    <w:rsid w:val="00475844"/>
    <w:rsid w:val="00476A9E"/>
    <w:rsid w:val="00476AE0"/>
    <w:rsid w:val="00476E4C"/>
    <w:rsid w:val="0047747A"/>
    <w:rsid w:val="004806B2"/>
    <w:rsid w:val="00481B05"/>
    <w:rsid w:val="00481CC4"/>
    <w:rsid w:val="0048292E"/>
    <w:rsid w:val="00482DF2"/>
    <w:rsid w:val="00483D8C"/>
    <w:rsid w:val="00483E50"/>
    <w:rsid w:val="0048426F"/>
    <w:rsid w:val="004847EF"/>
    <w:rsid w:val="004849FF"/>
    <w:rsid w:val="00484DCA"/>
    <w:rsid w:val="004851EE"/>
    <w:rsid w:val="004877C8"/>
    <w:rsid w:val="0048793B"/>
    <w:rsid w:val="004913AC"/>
    <w:rsid w:val="00492DE7"/>
    <w:rsid w:val="00494879"/>
    <w:rsid w:val="00494BAD"/>
    <w:rsid w:val="00494D25"/>
    <w:rsid w:val="004951A0"/>
    <w:rsid w:val="004968BE"/>
    <w:rsid w:val="00496D15"/>
    <w:rsid w:val="004A0231"/>
    <w:rsid w:val="004A1BA4"/>
    <w:rsid w:val="004A3949"/>
    <w:rsid w:val="004A3F70"/>
    <w:rsid w:val="004A49F0"/>
    <w:rsid w:val="004A5A0B"/>
    <w:rsid w:val="004A6C45"/>
    <w:rsid w:val="004B1382"/>
    <w:rsid w:val="004B1618"/>
    <w:rsid w:val="004B172E"/>
    <w:rsid w:val="004B4438"/>
    <w:rsid w:val="004B5207"/>
    <w:rsid w:val="004B6D65"/>
    <w:rsid w:val="004C0060"/>
    <w:rsid w:val="004C178D"/>
    <w:rsid w:val="004C1EF1"/>
    <w:rsid w:val="004C295A"/>
    <w:rsid w:val="004C2E2B"/>
    <w:rsid w:val="004C4583"/>
    <w:rsid w:val="004C4800"/>
    <w:rsid w:val="004C4A7D"/>
    <w:rsid w:val="004C5161"/>
    <w:rsid w:val="004C74EB"/>
    <w:rsid w:val="004C757A"/>
    <w:rsid w:val="004D0257"/>
    <w:rsid w:val="004D03A3"/>
    <w:rsid w:val="004D0D13"/>
    <w:rsid w:val="004D15BC"/>
    <w:rsid w:val="004D16FB"/>
    <w:rsid w:val="004D243A"/>
    <w:rsid w:val="004D278D"/>
    <w:rsid w:val="004D4E0C"/>
    <w:rsid w:val="004D5683"/>
    <w:rsid w:val="004D5B8A"/>
    <w:rsid w:val="004D5CF2"/>
    <w:rsid w:val="004E0AAB"/>
    <w:rsid w:val="004E1C81"/>
    <w:rsid w:val="004E22C4"/>
    <w:rsid w:val="004E4706"/>
    <w:rsid w:val="004E5958"/>
    <w:rsid w:val="004E5CE4"/>
    <w:rsid w:val="004E66D4"/>
    <w:rsid w:val="004E7AA7"/>
    <w:rsid w:val="004F00ED"/>
    <w:rsid w:val="004F067C"/>
    <w:rsid w:val="004F2AF0"/>
    <w:rsid w:val="004F305C"/>
    <w:rsid w:val="004F5289"/>
    <w:rsid w:val="004F610C"/>
    <w:rsid w:val="004F6770"/>
    <w:rsid w:val="004F77F5"/>
    <w:rsid w:val="00501FE7"/>
    <w:rsid w:val="00502429"/>
    <w:rsid w:val="005024C0"/>
    <w:rsid w:val="00502F30"/>
    <w:rsid w:val="00505815"/>
    <w:rsid w:val="00506742"/>
    <w:rsid w:val="00507D62"/>
    <w:rsid w:val="005101F7"/>
    <w:rsid w:val="0051153F"/>
    <w:rsid w:val="0051273B"/>
    <w:rsid w:val="005148A3"/>
    <w:rsid w:val="00514A9E"/>
    <w:rsid w:val="00514BD5"/>
    <w:rsid w:val="00515774"/>
    <w:rsid w:val="00515DE2"/>
    <w:rsid w:val="00516358"/>
    <w:rsid w:val="00520438"/>
    <w:rsid w:val="005239B6"/>
    <w:rsid w:val="00524F22"/>
    <w:rsid w:val="0052553A"/>
    <w:rsid w:val="00525963"/>
    <w:rsid w:val="00526542"/>
    <w:rsid w:val="00526B74"/>
    <w:rsid w:val="00527973"/>
    <w:rsid w:val="005303B3"/>
    <w:rsid w:val="00530596"/>
    <w:rsid w:val="00530F6F"/>
    <w:rsid w:val="00531080"/>
    <w:rsid w:val="005315D7"/>
    <w:rsid w:val="00531B0A"/>
    <w:rsid w:val="005331E3"/>
    <w:rsid w:val="00533BF0"/>
    <w:rsid w:val="00536C72"/>
    <w:rsid w:val="0053773E"/>
    <w:rsid w:val="00537FE7"/>
    <w:rsid w:val="005400D0"/>
    <w:rsid w:val="005402FD"/>
    <w:rsid w:val="0054090C"/>
    <w:rsid w:val="00540CE1"/>
    <w:rsid w:val="00540E19"/>
    <w:rsid w:val="005428F6"/>
    <w:rsid w:val="005445C1"/>
    <w:rsid w:val="005524FE"/>
    <w:rsid w:val="00553417"/>
    <w:rsid w:val="005541B6"/>
    <w:rsid w:val="005543E3"/>
    <w:rsid w:val="00554602"/>
    <w:rsid w:val="00557A5F"/>
    <w:rsid w:val="00560502"/>
    <w:rsid w:val="0056263B"/>
    <w:rsid w:val="00562F0C"/>
    <w:rsid w:val="00563D85"/>
    <w:rsid w:val="00564391"/>
    <w:rsid w:val="00564DC8"/>
    <w:rsid w:val="00565117"/>
    <w:rsid w:val="00565D91"/>
    <w:rsid w:val="005666F2"/>
    <w:rsid w:val="00566888"/>
    <w:rsid w:val="00566FCC"/>
    <w:rsid w:val="0056732A"/>
    <w:rsid w:val="0056789D"/>
    <w:rsid w:val="00567D0B"/>
    <w:rsid w:val="00570DFC"/>
    <w:rsid w:val="00571454"/>
    <w:rsid w:val="005716BE"/>
    <w:rsid w:val="0057395F"/>
    <w:rsid w:val="00573F92"/>
    <w:rsid w:val="0057475B"/>
    <w:rsid w:val="005749FA"/>
    <w:rsid w:val="0057525E"/>
    <w:rsid w:val="0057536B"/>
    <w:rsid w:val="00575544"/>
    <w:rsid w:val="0057555E"/>
    <w:rsid w:val="00575FCB"/>
    <w:rsid w:val="00576880"/>
    <w:rsid w:val="00576E4C"/>
    <w:rsid w:val="00577B71"/>
    <w:rsid w:val="00577D75"/>
    <w:rsid w:val="00580809"/>
    <w:rsid w:val="00580A94"/>
    <w:rsid w:val="00580B07"/>
    <w:rsid w:val="00581203"/>
    <w:rsid w:val="00582136"/>
    <w:rsid w:val="00582762"/>
    <w:rsid w:val="00583E26"/>
    <w:rsid w:val="00584ACB"/>
    <w:rsid w:val="00584EB8"/>
    <w:rsid w:val="00586DC4"/>
    <w:rsid w:val="00587048"/>
    <w:rsid w:val="00591F83"/>
    <w:rsid w:val="00592864"/>
    <w:rsid w:val="00592B3A"/>
    <w:rsid w:val="00595361"/>
    <w:rsid w:val="005971C6"/>
    <w:rsid w:val="00597ABC"/>
    <w:rsid w:val="00597B89"/>
    <w:rsid w:val="005A0BA5"/>
    <w:rsid w:val="005A0C76"/>
    <w:rsid w:val="005A1A2C"/>
    <w:rsid w:val="005A1AFA"/>
    <w:rsid w:val="005A1C63"/>
    <w:rsid w:val="005A3355"/>
    <w:rsid w:val="005A35DB"/>
    <w:rsid w:val="005A3CF3"/>
    <w:rsid w:val="005A48A3"/>
    <w:rsid w:val="005A517B"/>
    <w:rsid w:val="005A54EF"/>
    <w:rsid w:val="005A6811"/>
    <w:rsid w:val="005A6AD2"/>
    <w:rsid w:val="005A76A0"/>
    <w:rsid w:val="005A7D25"/>
    <w:rsid w:val="005B01D4"/>
    <w:rsid w:val="005B1D06"/>
    <w:rsid w:val="005B1EE2"/>
    <w:rsid w:val="005B23E9"/>
    <w:rsid w:val="005B2D0E"/>
    <w:rsid w:val="005B3C47"/>
    <w:rsid w:val="005B3D6E"/>
    <w:rsid w:val="005B4DD2"/>
    <w:rsid w:val="005B573D"/>
    <w:rsid w:val="005B5973"/>
    <w:rsid w:val="005B6922"/>
    <w:rsid w:val="005B6BBE"/>
    <w:rsid w:val="005B7932"/>
    <w:rsid w:val="005B7B2A"/>
    <w:rsid w:val="005B7F2B"/>
    <w:rsid w:val="005C1556"/>
    <w:rsid w:val="005C24A3"/>
    <w:rsid w:val="005C27E0"/>
    <w:rsid w:val="005C3673"/>
    <w:rsid w:val="005C50CC"/>
    <w:rsid w:val="005C5433"/>
    <w:rsid w:val="005C6A6E"/>
    <w:rsid w:val="005C7A78"/>
    <w:rsid w:val="005D0F3E"/>
    <w:rsid w:val="005D15CB"/>
    <w:rsid w:val="005D1782"/>
    <w:rsid w:val="005D1AC9"/>
    <w:rsid w:val="005D1BCF"/>
    <w:rsid w:val="005D2745"/>
    <w:rsid w:val="005D3D03"/>
    <w:rsid w:val="005D40AB"/>
    <w:rsid w:val="005D67B2"/>
    <w:rsid w:val="005D73E4"/>
    <w:rsid w:val="005E0653"/>
    <w:rsid w:val="005E0C97"/>
    <w:rsid w:val="005E1075"/>
    <w:rsid w:val="005E2390"/>
    <w:rsid w:val="005E2426"/>
    <w:rsid w:val="005E323D"/>
    <w:rsid w:val="005E388A"/>
    <w:rsid w:val="005E4247"/>
    <w:rsid w:val="005E4C42"/>
    <w:rsid w:val="005E5919"/>
    <w:rsid w:val="005E7C84"/>
    <w:rsid w:val="005F06AF"/>
    <w:rsid w:val="005F06EC"/>
    <w:rsid w:val="005F0A8B"/>
    <w:rsid w:val="005F0FE2"/>
    <w:rsid w:val="005F18DC"/>
    <w:rsid w:val="005F2BD8"/>
    <w:rsid w:val="005F31BF"/>
    <w:rsid w:val="005F333A"/>
    <w:rsid w:val="005F443B"/>
    <w:rsid w:val="005F4CB6"/>
    <w:rsid w:val="005F4D4E"/>
    <w:rsid w:val="005F512A"/>
    <w:rsid w:val="005F598F"/>
    <w:rsid w:val="005F6C8F"/>
    <w:rsid w:val="005F790C"/>
    <w:rsid w:val="006004B5"/>
    <w:rsid w:val="00600FE4"/>
    <w:rsid w:val="00601202"/>
    <w:rsid w:val="006033EC"/>
    <w:rsid w:val="00603E54"/>
    <w:rsid w:val="00603FC2"/>
    <w:rsid w:val="00604B13"/>
    <w:rsid w:val="00605C05"/>
    <w:rsid w:val="00605F11"/>
    <w:rsid w:val="00606D0E"/>
    <w:rsid w:val="00606F68"/>
    <w:rsid w:val="006076C6"/>
    <w:rsid w:val="006076F8"/>
    <w:rsid w:val="006107CB"/>
    <w:rsid w:val="00612094"/>
    <w:rsid w:val="00613438"/>
    <w:rsid w:val="006136DF"/>
    <w:rsid w:val="00614156"/>
    <w:rsid w:val="00614A87"/>
    <w:rsid w:val="006156B0"/>
    <w:rsid w:val="00616453"/>
    <w:rsid w:val="00616692"/>
    <w:rsid w:val="00616F64"/>
    <w:rsid w:val="006174A9"/>
    <w:rsid w:val="00617C6A"/>
    <w:rsid w:val="00617CC3"/>
    <w:rsid w:val="00621070"/>
    <w:rsid w:val="00621A84"/>
    <w:rsid w:val="00623BD3"/>
    <w:rsid w:val="00624769"/>
    <w:rsid w:val="0062521A"/>
    <w:rsid w:val="006272B4"/>
    <w:rsid w:val="006274BC"/>
    <w:rsid w:val="0062776A"/>
    <w:rsid w:val="00627CDA"/>
    <w:rsid w:val="00630A32"/>
    <w:rsid w:val="00630BCB"/>
    <w:rsid w:val="00631582"/>
    <w:rsid w:val="00631942"/>
    <w:rsid w:val="0063308F"/>
    <w:rsid w:val="006342F4"/>
    <w:rsid w:val="00634AFE"/>
    <w:rsid w:val="006351BD"/>
    <w:rsid w:val="006368A1"/>
    <w:rsid w:val="00636956"/>
    <w:rsid w:val="0063735B"/>
    <w:rsid w:val="006411BC"/>
    <w:rsid w:val="00641299"/>
    <w:rsid w:val="0064133B"/>
    <w:rsid w:val="006415E9"/>
    <w:rsid w:val="006430F5"/>
    <w:rsid w:val="00643847"/>
    <w:rsid w:val="00644C33"/>
    <w:rsid w:val="00645BB1"/>
    <w:rsid w:val="00646406"/>
    <w:rsid w:val="00646E5F"/>
    <w:rsid w:val="0064725E"/>
    <w:rsid w:val="00647850"/>
    <w:rsid w:val="006502AA"/>
    <w:rsid w:val="006503AA"/>
    <w:rsid w:val="006507D1"/>
    <w:rsid w:val="00651EA5"/>
    <w:rsid w:val="00653510"/>
    <w:rsid w:val="00653DC3"/>
    <w:rsid w:val="00654B11"/>
    <w:rsid w:val="006561C0"/>
    <w:rsid w:val="00656907"/>
    <w:rsid w:val="006569D8"/>
    <w:rsid w:val="00656A0B"/>
    <w:rsid w:val="00660CD9"/>
    <w:rsid w:val="00661A33"/>
    <w:rsid w:val="00661D9B"/>
    <w:rsid w:val="00662080"/>
    <w:rsid w:val="00663F8C"/>
    <w:rsid w:val="00664540"/>
    <w:rsid w:val="006653D4"/>
    <w:rsid w:val="006669C8"/>
    <w:rsid w:val="00667038"/>
    <w:rsid w:val="006675A2"/>
    <w:rsid w:val="0067046B"/>
    <w:rsid w:val="006704F5"/>
    <w:rsid w:val="0067192B"/>
    <w:rsid w:val="00672A5D"/>
    <w:rsid w:val="00672C7C"/>
    <w:rsid w:val="0067317D"/>
    <w:rsid w:val="0067338B"/>
    <w:rsid w:val="00673E16"/>
    <w:rsid w:val="00673FCF"/>
    <w:rsid w:val="006746A9"/>
    <w:rsid w:val="00674905"/>
    <w:rsid w:val="00674BD4"/>
    <w:rsid w:val="0067525C"/>
    <w:rsid w:val="00677670"/>
    <w:rsid w:val="00677E10"/>
    <w:rsid w:val="00680D50"/>
    <w:rsid w:val="00684896"/>
    <w:rsid w:val="006849C1"/>
    <w:rsid w:val="006849F2"/>
    <w:rsid w:val="00684E5E"/>
    <w:rsid w:val="00685DD2"/>
    <w:rsid w:val="00686D8E"/>
    <w:rsid w:val="00687C84"/>
    <w:rsid w:val="00690125"/>
    <w:rsid w:val="006904A1"/>
    <w:rsid w:val="00690DDA"/>
    <w:rsid w:val="0069147C"/>
    <w:rsid w:val="00691764"/>
    <w:rsid w:val="00691A7A"/>
    <w:rsid w:val="00692353"/>
    <w:rsid w:val="00692B06"/>
    <w:rsid w:val="00693182"/>
    <w:rsid w:val="00693568"/>
    <w:rsid w:val="0069389E"/>
    <w:rsid w:val="00693A19"/>
    <w:rsid w:val="00693FF5"/>
    <w:rsid w:val="006940C8"/>
    <w:rsid w:val="0069505F"/>
    <w:rsid w:val="00695468"/>
    <w:rsid w:val="006956FD"/>
    <w:rsid w:val="00695BFD"/>
    <w:rsid w:val="00696209"/>
    <w:rsid w:val="00696301"/>
    <w:rsid w:val="006969F2"/>
    <w:rsid w:val="00696CD8"/>
    <w:rsid w:val="00697332"/>
    <w:rsid w:val="006978C6"/>
    <w:rsid w:val="006A00DE"/>
    <w:rsid w:val="006A1121"/>
    <w:rsid w:val="006A1C4C"/>
    <w:rsid w:val="006A2156"/>
    <w:rsid w:val="006A476D"/>
    <w:rsid w:val="006A5400"/>
    <w:rsid w:val="006A648B"/>
    <w:rsid w:val="006A73FB"/>
    <w:rsid w:val="006A788E"/>
    <w:rsid w:val="006A78F0"/>
    <w:rsid w:val="006B1B53"/>
    <w:rsid w:val="006B2D6A"/>
    <w:rsid w:val="006B2FD2"/>
    <w:rsid w:val="006B30A4"/>
    <w:rsid w:val="006B3927"/>
    <w:rsid w:val="006B3F40"/>
    <w:rsid w:val="006B435D"/>
    <w:rsid w:val="006B67B4"/>
    <w:rsid w:val="006B70B4"/>
    <w:rsid w:val="006B75A2"/>
    <w:rsid w:val="006C0863"/>
    <w:rsid w:val="006C25EB"/>
    <w:rsid w:val="006C34E0"/>
    <w:rsid w:val="006C3805"/>
    <w:rsid w:val="006C4DB8"/>
    <w:rsid w:val="006C4E71"/>
    <w:rsid w:val="006C4E94"/>
    <w:rsid w:val="006C5B81"/>
    <w:rsid w:val="006C6EAD"/>
    <w:rsid w:val="006C7587"/>
    <w:rsid w:val="006C76EE"/>
    <w:rsid w:val="006C791C"/>
    <w:rsid w:val="006D00C6"/>
    <w:rsid w:val="006D13BC"/>
    <w:rsid w:val="006D2791"/>
    <w:rsid w:val="006D2930"/>
    <w:rsid w:val="006D2A41"/>
    <w:rsid w:val="006D2C28"/>
    <w:rsid w:val="006D3423"/>
    <w:rsid w:val="006D35BE"/>
    <w:rsid w:val="006D3AD1"/>
    <w:rsid w:val="006D42BB"/>
    <w:rsid w:val="006D5202"/>
    <w:rsid w:val="006D5609"/>
    <w:rsid w:val="006D595C"/>
    <w:rsid w:val="006D6891"/>
    <w:rsid w:val="006D7433"/>
    <w:rsid w:val="006D7914"/>
    <w:rsid w:val="006D7D1D"/>
    <w:rsid w:val="006E0A18"/>
    <w:rsid w:val="006E0B98"/>
    <w:rsid w:val="006E0E04"/>
    <w:rsid w:val="006E0EC0"/>
    <w:rsid w:val="006E0ED6"/>
    <w:rsid w:val="006E25F6"/>
    <w:rsid w:val="006E3402"/>
    <w:rsid w:val="006E36DE"/>
    <w:rsid w:val="006E51F2"/>
    <w:rsid w:val="006E54C4"/>
    <w:rsid w:val="006E5897"/>
    <w:rsid w:val="006E5DDB"/>
    <w:rsid w:val="006E6F2C"/>
    <w:rsid w:val="006E79B8"/>
    <w:rsid w:val="006E7C99"/>
    <w:rsid w:val="006F1200"/>
    <w:rsid w:val="006F188C"/>
    <w:rsid w:val="006F1D25"/>
    <w:rsid w:val="006F25DD"/>
    <w:rsid w:val="006F2896"/>
    <w:rsid w:val="006F2E98"/>
    <w:rsid w:val="006F3D1F"/>
    <w:rsid w:val="006F4221"/>
    <w:rsid w:val="006F4EC2"/>
    <w:rsid w:val="006F4ED1"/>
    <w:rsid w:val="007016A5"/>
    <w:rsid w:val="0070177E"/>
    <w:rsid w:val="00702696"/>
    <w:rsid w:val="0070280B"/>
    <w:rsid w:val="00703B75"/>
    <w:rsid w:val="00703F18"/>
    <w:rsid w:val="007053A9"/>
    <w:rsid w:val="00705B8D"/>
    <w:rsid w:val="00710677"/>
    <w:rsid w:val="00713452"/>
    <w:rsid w:val="00713E01"/>
    <w:rsid w:val="00714890"/>
    <w:rsid w:val="00714F3D"/>
    <w:rsid w:val="0071550A"/>
    <w:rsid w:val="00716CD8"/>
    <w:rsid w:val="00716E11"/>
    <w:rsid w:val="007202D2"/>
    <w:rsid w:val="0072062E"/>
    <w:rsid w:val="00720729"/>
    <w:rsid w:val="00721CC0"/>
    <w:rsid w:val="0072244B"/>
    <w:rsid w:val="00722A49"/>
    <w:rsid w:val="00722ABE"/>
    <w:rsid w:val="00722D16"/>
    <w:rsid w:val="00724BD7"/>
    <w:rsid w:val="007250D6"/>
    <w:rsid w:val="00725C51"/>
    <w:rsid w:val="00725D2E"/>
    <w:rsid w:val="00725F77"/>
    <w:rsid w:val="007279DE"/>
    <w:rsid w:val="00727EA2"/>
    <w:rsid w:val="00730CD4"/>
    <w:rsid w:val="0073177A"/>
    <w:rsid w:val="0073197B"/>
    <w:rsid w:val="00731FCC"/>
    <w:rsid w:val="00732281"/>
    <w:rsid w:val="007326BC"/>
    <w:rsid w:val="007329D1"/>
    <w:rsid w:val="007330BB"/>
    <w:rsid w:val="007335F8"/>
    <w:rsid w:val="00734831"/>
    <w:rsid w:val="00734D66"/>
    <w:rsid w:val="00735888"/>
    <w:rsid w:val="00736E36"/>
    <w:rsid w:val="00740053"/>
    <w:rsid w:val="007416B3"/>
    <w:rsid w:val="007421C6"/>
    <w:rsid w:val="0074244D"/>
    <w:rsid w:val="00742A48"/>
    <w:rsid w:val="0074365D"/>
    <w:rsid w:val="0074380E"/>
    <w:rsid w:val="0074584F"/>
    <w:rsid w:val="00747036"/>
    <w:rsid w:val="007474DA"/>
    <w:rsid w:val="00747652"/>
    <w:rsid w:val="00747CAC"/>
    <w:rsid w:val="00747DB9"/>
    <w:rsid w:val="00747E4A"/>
    <w:rsid w:val="007506FF"/>
    <w:rsid w:val="00750C22"/>
    <w:rsid w:val="00750C53"/>
    <w:rsid w:val="00750DE6"/>
    <w:rsid w:val="00751DBB"/>
    <w:rsid w:val="00751F4A"/>
    <w:rsid w:val="00754674"/>
    <w:rsid w:val="007560A3"/>
    <w:rsid w:val="007560CC"/>
    <w:rsid w:val="0075625C"/>
    <w:rsid w:val="007564DC"/>
    <w:rsid w:val="00756A28"/>
    <w:rsid w:val="00760926"/>
    <w:rsid w:val="00762A63"/>
    <w:rsid w:val="00763758"/>
    <w:rsid w:val="00764D6E"/>
    <w:rsid w:val="00764D82"/>
    <w:rsid w:val="00764EBE"/>
    <w:rsid w:val="00765B25"/>
    <w:rsid w:val="0076642B"/>
    <w:rsid w:val="00766C82"/>
    <w:rsid w:val="00767018"/>
    <w:rsid w:val="007674A6"/>
    <w:rsid w:val="00767807"/>
    <w:rsid w:val="007679D7"/>
    <w:rsid w:val="00767D1B"/>
    <w:rsid w:val="007702F6"/>
    <w:rsid w:val="00770878"/>
    <w:rsid w:val="00771E28"/>
    <w:rsid w:val="007724E4"/>
    <w:rsid w:val="0077284D"/>
    <w:rsid w:val="007730E3"/>
    <w:rsid w:val="00774937"/>
    <w:rsid w:val="00774E40"/>
    <w:rsid w:val="0077650E"/>
    <w:rsid w:val="00776833"/>
    <w:rsid w:val="00776ACA"/>
    <w:rsid w:val="00776EFA"/>
    <w:rsid w:val="00777486"/>
    <w:rsid w:val="00777952"/>
    <w:rsid w:val="00777A8A"/>
    <w:rsid w:val="0078042F"/>
    <w:rsid w:val="007808C6"/>
    <w:rsid w:val="007809C7"/>
    <w:rsid w:val="00780F82"/>
    <w:rsid w:val="007816A9"/>
    <w:rsid w:val="00781E8A"/>
    <w:rsid w:val="00785B57"/>
    <w:rsid w:val="007863D9"/>
    <w:rsid w:val="007874DF"/>
    <w:rsid w:val="00787F8C"/>
    <w:rsid w:val="007905D4"/>
    <w:rsid w:val="007909A4"/>
    <w:rsid w:val="00790C35"/>
    <w:rsid w:val="0079151D"/>
    <w:rsid w:val="00791A7D"/>
    <w:rsid w:val="00792648"/>
    <w:rsid w:val="0079297B"/>
    <w:rsid w:val="0079306E"/>
    <w:rsid w:val="00793F99"/>
    <w:rsid w:val="00794007"/>
    <w:rsid w:val="00794110"/>
    <w:rsid w:val="007957D6"/>
    <w:rsid w:val="00795C1F"/>
    <w:rsid w:val="00795DAD"/>
    <w:rsid w:val="00797889"/>
    <w:rsid w:val="007A00AA"/>
    <w:rsid w:val="007A124E"/>
    <w:rsid w:val="007A1D44"/>
    <w:rsid w:val="007A2255"/>
    <w:rsid w:val="007A52CF"/>
    <w:rsid w:val="007A6176"/>
    <w:rsid w:val="007A6531"/>
    <w:rsid w:val="007A7095"/>
    <w:rsid w:val="007B094E"/>
    <w:rsid w:val="007B0B14"/>
    <w:rsid w:val="007B1604"/>
    <w:rsid w:val="007B1EBA"/>
    <w:rsid w:val="007B214A"/>
    <w:rsid w:val="007B249D"/>
    <w:rsid w:val="007B459F"/>
    <w:rsid w:val="007B4EFD"/>
    <w:rsid w:val="007B4F1C"/>
    <w:rsid w:val="007B510D"/>
    <w:rsid w:val="007B5ADF"/>
    <w:rsid w:val="007B5C9B"/>
    <w:rsid w:val="007B6160"/>
    <w:rsid w:val="007B66D8"/>
    <w:rsid w:val="007B7CA5"/>
    <w:rsid w:val="007B7E99"/>
    <w:rsid w:val="007B7FA0"/>
    <w:rsid w:val="007C15E7"/>
    <w:rsid w:val="007C2ED7"/>
    <w:rsid w:val="007C3AF5"/>
    <w:rsid w:val="007C40FE"/>
    <w:rsid w:val="007C4F9C"/>
    <w:rsid w:val="007C59EA"/>
    <w:rsid w:val="007C6DED"/>
    <w:rsid w:val="007C7A1F"/>
    <w:rsid w:val="007D0404"/>
    <w:rsid w:val="007D0E78"/>
    <w:rsid w:val="007D0FE0"/>
    <w:rsid w:val="007D12B2"/>
    <w:rsid w:val="007D1BC6"/>
    <w:rsid w:val="007D2230"/>
    <w:rsid w:val="007D3C2E"/>
    <w:rsid w:val="007D41FA"/>
    <w:rsid w:val="007E04E4"/>
    <w:rsid w:val="007E0B58"/>
    <w:rsid w:val="007E0F1E"/>
    <w:rsid w:val="007E2407"/>
    <w:rsid w:val="007E2736"/>
    <w:rsid w:val="007E299B"/>
    <w:rsid w:val="007E2E82"/>
    <w:rsid w:val="007E300C"/>
    <w:rsid w:val="007E3A61"/>
    <w:rsid w:val="007E3BBA"/>
    <w:rsid w:val="007E4714"/>
    <w:rsid w:val="007E49AC"/>
    <w:rsid w:val="007E4BB3"/>
    <w:rsid w:val="007E4C60"/>
    <w:rsid w:val="007E56CE"/>
    <w:rsid w:val="007E597A"/>
    <w:rsid w:val="007E5D05"/>
    <w:rsid w:val="007E6C69"/>
    <w:rsid w:val="007F06AC"/>
    <w:rsid w:val="007F0DAB"/>
    <w:rsid w:val="007F0E79"/>
    <w:rsid w:val="007F15F6"/>
    <w:rsid w:val="007F1BD2"/>
    <w:rsid w:val="007F1EBE"/>
    <w:rsid w:val="007F335E"/>
    <w:rsid w:val="007F3722"/>
    <w:rsid w:val="007F3A9F"/>
    <w:rsid w:val="007F3DE1"/>
    <w:rsid w:val="007F521A"/>
    <w:rsid w:val="007F5C36"/>
    <w:rsid w:val="007F6D18"/>
    <w:rsid w:val="007F7083"/>
    <w:rsid w:val="00801694"/>
    <w:rsid w:val="00803781"/>
    <w:rsid w:val="00804172"/>
    <w:rsid w:val="00804962"/>
    <w:rsid w:val="00805118"/>
    <w:rsid w:val="00805302"/>
    <w:rsid w:val="00807758"/>
    <w:rsid w:val="00810DBE"/>
    <w:rsid w:val="00810E78"/>
    <w:rsid w:val="00811158"/>
    <w:rsid w:val="008116B0"/>
    <w:rsid w:val="008123ED"/>
    <w:rsid w:val="008128D3"/>
    <w:rsid w:val="0081292D"/>
    <w:rsid w:val="00813CE8"/>
    <w:rsid w:val="00813EEF"/>
    <w:rsid w:val="00814FF7"/>
    <w:rsid w:val="00815367"/>
    <w:rsid w:val="00815773"/>
    <w:rsid w:val="00816B29"/>
    <w:rsid w:val="00820F9D"/>
    <w:rsid w:val="00821F38"/>
    <w:rsid w:val="008222D2"/>
    <w:rsid w:val="00822D51"/>
    <w:rsid w:val="00824152"/>
    <w:rsid w:val="00824C23"/>
    <w:rsid w:val="00826779"/>
    <w:rsid w:val="0083075E"/>
    <w:rsid w:val="0083081A"/>
    <w:rsid w:val="00832979"/>
    <w:rsid w:val="00832A8C"/>
    <w:rsid w:val="00833553"/>
    <w:rsid w:val="008345BC"/>
    <w:rsid w:val="0083499A"/>
    <w:rsid w:val="00834E08"/>
    <w:rsid w:val="00836C76"/>
    <w:rsid w:val="00837D36"/>
    <w:rsid w:val="00837E01"/>
    <w:rsid w:val="00840040"/>
    <w:rsid w:val="00840207"/>
    <w:rsid w:val="00840A42"/>
    <w:rsid w:val="008431FD"/>
    <w:rsid w:val="0084542A"/>
    <w:rsid w:val="0084581A"/>
    <w:rsid w:val="00845EF7"/>
    <w:rsid w:val="00846774"/>
    <w:rsid w:val="008507C0"/>
    <w:rsid w:val="00850D90"/>
    <w:rsid w:val="00850EBE"/>
    <w:rsid w:val="0085128B"/>
    <w:rsid w:val="0085147D"/>
    <w:rsid w:val="008527C0"/>
    <w:rsid w:val="008532AB"/>
    <w:rsid w:val="0085498E"/>
    <w:rsid w:val="00855717"/>
    <w:rsid w:val="00856EE0"/>
    <w:rsid w:val="00861685"/>
    <w:rsid w:val="00861906"/>
    <w:rsid w:val="00863191"/>
    <w:rsid w:val="0086380F"/>
    <w:rsid w:val="00863991"/>
    <w:rsid w:val="0086405D"/>
    <w:rsid w:val="008652BF"/>
    <w:rsid w:val="0086584D"/>
    <w:rsid w:val="00865D18"/>
    <w:rsid w:val="00866DD7"/>
    <w:rsid w:val="0086723A"/>
    <w:rsid w:val="008677B4"/>
    <w:rsid w:val="00870919"/>
    <w:rsid w:val="008711C6"/>
    <w:rsid w:val="00872BEB"/>
    <w:rsid w:val="00873782"/>
    <w:rsid w:val="00873887"/>
    <w:rsid w:val="00873BCA"/>
    <w:rsid w:val="00873EF9"/>
    <w:rsid w:val="008745A7"/>
    <w:rsid w:val="008749FE"/>
    <w:rsid w:val="00874FA1"/>
    <w:rsid w:val="00875FEB"/>
    <w:rsid w:val="0087756B"/>
    <w:rsid w:val="00880A9A"/>
    <w:rsid w:val="00880D7D"/>
    <w:rsid w:val="008812E1"/>
    <w:rsid w:val="00882A3E"/>
    <w:rsid w:val="00884A8B"/>
    <w:rsid w:val="00886D90"/>
    <w:rsid w:val="0088714C"/>
    <w:rsid w:val="008879F9"/>
    <w:rsid w:val="008917E8"/>
    <w:rsid w:val="00891BBD"/>
    <w:rsid w:val="0089205B"/>
    <w:rsid w:val="00893558"/>
    <w:rsid w:val="008936B1"/>
    <w:rsid w:val="00893ABF"/>
    <w:rsid w:val="0089445A"/>
    <w:rsid w:val="00894B6D"/>
    <w:rsid w:val="00896A76"/>
    <w:rsid w:val="00896C44"/>
    <w:rsid w:val="00896D90"/>
    <w:rsid w:val="00897404"/>
    <w:rsid w:val="008976DB"/>
    <w:rsid w:val="00897C16"/>
    <w:rsid w:val="008A0479"/>
    <w:rsid w:val="008A0A26"/>
    <w:rsid w:val="008A118C"/>
    <w:rsid w:val="008A1416"/>
    <w:rsid w:val="008A1FD1"/>
    <w:rsid w:val="008A266D"/>
    <w:rsid w:val="008A27F3"/>
    <w:rsid w:val="008A2D99"/>
    <w:rsid w:val="008A2E7E"/>
    <w:rsid w:val="008A450E"/>
    <w:rsid w:val="008A47FD"/>
    <w:rsid w:val="008A499C"/>
    <w:rsid w:val="008A4BDB"/>
    <w:rsid w:val="008A6DC0"/>
    <w:rsid w:val="008A742F"/>
    <w:rsid w:val="008A7D97"/>
    <w:rsid w:val="008A7D9F"/>
    <w:rsid w:val="008B13BD"/>
    <w:rsid w:val="008B176C"/>
    <w:rsid w:val="008B27C3"/>
    <w:rsid w:val="008B2FE7"/>
    <w:rsid w:val="008B4583"/>
    <w:rsid w:val="008B5233"/>
    <w:rsid w:val="008B60E7"/>
    <w:rsid w:val="008B6273"/>
    <w:rsid w:val="008B678C"/>
    <w:rsid w:val="008B7A03"/>
    <w:rsid w:val="008B7EBC"/>
    <w:rsid w:val="008C0119"/>
    <w:rsid w:val="008C0818"/>
    <w:rsid w:val="008C1C01"/>
    <w:rsid w:val="008C1C49"/>
    <w:rsid w:val="008C1FC2"/>
    <w:rsid w:val="008C20C0"/>
    <w:rsid w:val="008D086A"/>
    <w:rsid w:val="008D0B66"/>
    <w:rsid w:val="008D0E8F"/>
    <w:rsid w:val="008D227B"/>
    <w:rsid w:val="008D2358"/>
    <w:rsid w:val="008D2865"/>
    <w:rsid w:val="008D38D0"/>
    <w:rsid w:val="008D3EED"/>
    <w:rsid w:val="008D5E2E"/>
    <w:rsid w:val="008D5FA3"/>
    <w:rsid w:val="008D79BC"/>
    <w:rsid w:val="008D7BFB"/>
    <w:rsid w:val="008E06DD"/>
    <w:rsid w:val="008E0861"/>
    <w:rsid w:val="008E0A4A"/>
    <w:rsid w:val="008E0AB7"/>
    <w:rsid w:val="008E10A6"/>
    <w:rsid w:val="008E1545"/>
    <w:rsid w:val="008E205D"/>
    <w:rsid w:val="008E2108"/>
    <w:rsid w:val="008E2224"/>
    <w:rsid w:val="008E245B"/>
    <w:rsid w:val="008E259D"/>
    <w:rsid w:val="008E41FF"/>
    <w:rsid w:val="008E461D"/>
    <w:rsid w:val="008E4857"/>
    <w:rsid w:val="008E48B0"/>
    <w:rsid w:val="008E6179"/>
    <w:rsid w:val="008E7B3D"/>
    <w:rsid w:val="008F018E"/>
    <w:rsid w:val="008F0AB7"/>
    <w:rsid w:val="008F1797"/>
    <w:rsid w:val="008F2037"/>
    <w:rsid w:val="008F21DD"/>
    <w:rsid w:val="008F2506"/>
    <w:rsid w:val="008F2C61"/>
    <w:rsid w:val="008F3017"/>
    <w:rsid w:val="008F4048"/>
    <w:rsid w:val="008F4094"/>
    <w:rsid w:val="008F5194"/>
    <w:rsid w:val="008F6DFA"/>
    <w:rsid w:val="008F7AC1"/>
    <w:rsid w:val="008F7C11"/>
    <w:rsid w:val="008F7C82"/>
    <w:rsid w:val="0090109D"/>
    <w:rsid w:val="00901975"/>
    <w:rsid w:val="00903FA8"/>
    <w:rsid w:val="00904033"/>
    <w:rsid w:val="00904846"/>
    <w:rsid w:val="009052F4"/>
    <w:rsid w:val="009057AF"/>
    <w:rsid w:val="00905DA5"/>
    <w:rsid w:val="009071AA"/>
    <w:rsid w:val="009076B5"/>
    <w:rsid w:val="009079E2"/>
    <w:rsid w:val="009122ED"/>
    <w:rsid w:val="00912394"/>
    <w:rsid w:val="00913F1D"/>
    <w:rsid w:val="00914D41"/>
    <w:rsid w:val="0091677A"/>
    <w:rsid w:val="00917B34"/>
    <w:rsid w:val="00920540"/>
    <w:rsid w:val="00921728"/>
    <w:rsid w:val="00922D6C"/>
    <w:rsid w:val="00922E24"/>
    <w:rsid w:val="00923DCE"/>
    <w:rsid w:val="009244F3"/>
    <w:rsid w:val="0092459F"/>
    <w:rsid w:val="0092513E"/>
    <w:rsid w:val="0092543A"/>
    <w:rsid w:val="00925770"/>
    <w:rsid w:val="0092619C"/>
    <w:rsid w:val="00926321"/>
    <w:rsid w:val="00927230"/>
    <w:rsid w:val="009305D0"/>
    <w:rsid w:val="0093166F"/>
    <w:rsid w:val="00931C04"/>
    <w:rsid w:val="00931F75"/>
    <w:rsid w:val="00932230"/>
    <w:rsid w:val="00932627"/>
    <w:rsid w:val="0093285B"/>
    <w:rsid w:val="00933EBE"/>
    <w:rsid w:val="00934468"/>
    <w:rsid w:val="0093470C"/>
    <w:rsid w:val="009362B2"/>
    <w:rsid w:val="00936F59"/>
    <w:rsid w:val="00937CED"/>
    <w:rsid w:val="00940123"/>
    <w:rsid w:val="00940391"/>
    <w:rsid w:val="009423EA"/>
    <w:rsid w:val="0094301D"/>
    <w:rsid w:val="009430CC"/>
    <w:rsid w:val="00943E70"/>
    <w:rsid w:val="009457D8"/>
    <w:rsid w:val="00947587"/>
    <w:rsid w:val="00947FC5"/>
    <w:rsid w:val="009512FD"/>
    <w:rsid w:val="00951408"/>
    <w:rsid w:val="00952665"/>
    <w:rsid w:val="00953E5E"/>
    <w:rsid w:val="00956F04"/>
    <w:rsid w:val="0095701C"/>
    <w:rsid w:val="009575EF"/>
    <w:rsid w:val="00962CB9"/>
    <w:rsid w:val="00963366"/>
    <w:rsid w:val="00964196"/>
    <w:rsid w:val="00965775"/>
    <w:rsid w:val="00965A01"/>
    <w:rsid w:val="009672A7"/>
    <w:rsid w:val="0096763F"/>
    <w:rsid w:val="009678F1"/>
    <w:rsid w:val="00970289"/>
    <w:rsid w:val="00970E7B"/>
    <w:rsid w:val="00971122"/>
    <w:rsid w:val="009716EC"/>
    <w:rsid w:val="009718F1"/>
    <w:rsid w:val="00974CA0"/>
    <w:rsid w:val="0097667D"/>
    <w:rsid w:val="009767ED"/>
    <w:rsid w:val="009772E8"/>
    <w:rsid w:val="00980B32"/>
    <w:rsid w:val="009813DF"/>
    <w:rsid w:val="00982CC2"/>
    <w:rsid w:val="00983042"/>
    <w:rsid w:val="00984365"/>
    <w:rsid w:val="009844BC"/>
    <w:rsid w:val="00985205"/>
    <w:rsid w:val="009860A5"/>
    <w:rsid w:val="00986987"/>
    <w:rsid w:val="00986ADD"/>
    <w:rsid w:val="00987BE0"/>
    <w:rsid w:val="00987FB1"/>
    <w:rsid w:val="0099075D"/>
    <w:rsid w:val="00991CA3"/>
    <w:rsid w:val="009941F0"/>
    <w:rsid w:val="00994254"/>
    <w:rsid w:val="009945E9"/>
    <w:rsid w:val="00995697"/>
    <w:rsid w:val="009A0FA1"/>
    <w:rsid w:val="009A175F"/>
    <w:rsid w:val="009A2B04"/>
    <w:rsid w:val="009A2F82"/>
    <w:rsid w:val="009A5AA4"/>
    <w:rsid w:val="009A62B7"/>
    <w:rsid w:val="009A64C4"/>
    <w:rsid w:val="009A700F"/>
    <w:rsid w:val="009B0475"/>
    <w:rsid w:val="009B112D"/>
    <w:rsid w:val="009B11C6"/>
    <w:rsid w:val="009B1F24"/>
    <w:rsid w:val="009B24A6"/>
    <w:rsid w:val="009B3D9B"/>
    <w:rsid w:val="009B3FE0"/>
    <w:rsid w:val="009B483B"/>
    <w:rsid w:val="009B500C"/>
    <w:rsid w:val="009B558F"/>
    <w:rsid w:val="009B56F0"/>
    <w:rsid w:val="009B579B"/>
    <w:rsid w:val="009B5AEC"/>
    <w:rsid w:val="009B645A"/>
    <w:rsid w:val="009B6AA9"/>
    <w:rsid w:val="009B70E1"/>
    <w:rsid w:val="009C006B"/>
    <w:rsid w:val="009C1C48"/>
    <w:rsid w:val="009C21F9"/>
    <w:rsid w:val="009C247F"/>
    <w:rsid w:val="009C261B"/>
    <w:rsid w:val="009C274C"/>
    <w:rsid w:val="009C3135"/>
    <w:rsid w:val="009C3CAB"/>
    <w:rsid w:val="009C5022"/>
    <w:rsid w:val="009C50D3"/>
    <w:rsid w:val="009C6061"/>
    <w:rsid w:val="009C6562"/>
    <w:rsid w:val="009C74AF"/>
    <w:rsid w:val="009D03AA"/>
    <w:rsid w:val="009D0842"/>
    <w:rsid w:val="009D0B12"/>
    <w:rsid w:val="009D1B51"/>
    <w:rsid w:val="009D2A6A"/>
    <w:rsid w:val="009D3215"/>
    <w:rsid w:val="009D4264"/>
    <w:rsid w:val="009D42AE"/>
    <w:rsid w:val="009D4AAA"/>
    <w:rsid w:val="009D4F36"/>
    <w:rsid w:val="009D5BFA"/>
    <w:rsid w:val="009D7885"/>
    <w:rsid w:val="009E0EDF"/>
    <w:rsid w:val="009E1108"/>
    <w:rsid w:val="009E16CA"/>
    <w:rsid w:val="009E1C99"/>
    <w:rsid w:val="009E2476"/>
    <w:rsid w:val="009E2616"/>
    <w:rsid w:val="009E27FB"/>
    <w:rsid w:val="009E2997"/>
    <w:rsid w:val="009E2E61"/>
    <w:rsid w:val="009E30F4"/>
    <w:rsid w:val="009E3A09"/>
    <w:rsid w:val="009E5C05"/>
    <w:rsid w:val="009E5C9B"/>
    <w:rsid w:val="009E5D18"/>
    <w:rsid w:val="009E6EDD"/>
    <w:rsid w:val="009E77DB"/>
    <w:rsid w:val="009E7ECC"/>
    <w:rsid w:val="009F0BFE"/>
    <w:rsid w:val="009F1A0A"/>
    <w:rsid w:val="009F1DB5"/>
    <w:rsid w:val="009F1F83"/>
    <w:rsid w:val="009F2E71"/>
    <w:rsid w:val="009F3FC7"/>
    <w:rsid w:val="009F40CA"/>
    <w:rsid w:val="009F4225"/>
    <w:rsid w:val="009F46BC"/>
    <w:rsid w:val="009F5569"/>
    <w:rsid w:val="009F63F6"/>
    <w:rsid w:val="009F67ED"/>
    <w:rsid w:val="009F6DBD"/>
    <w:rsid w:val="009F71C7"/>
    <w:rsid w:val="009F748B"/>
    <w:rsid w:val="009F78EB"/>
    <w:rsid w:val="00A0120F"/>
    <w:rsid w:val="00A01577"/>
    <w:rsid w:val="00A01AC1"/>
    <w:rsid w:val="00A02611"/>
    <w:rsid w:val="00A02F03"/>
    <w:rsid w:val="00A03002"/>
    <w:rsid w:val="00A03871"/>
    <w:rsid w:val="00A046E0"/>
    <w:rsid w:val="00A050BF"/>
    <w:rsid w:val="00A05AEB"/>
    <w:rsid w:val="00A060D4"/>
    <w:rsid w:val="00A0659D"/>
    <w:rsid w:val="00A06942"/>
    <w:rsid w:val="00A103DA"/>
    <w:rsid w:val="00A11DC8"/>
    <w:rsid w:val="00A11F15"/>
    <w:rsid w:val="00A120FB"/>
    <w:rsid w:val="00A12831"/>
    <w:rsid w:val="00A12D5B"/>
    <w:rsid w:val="00A12DD0"/>
    <w:rsid w:val="00A14318"/>
    <w:rsid w:val="00A14A25"/>
    <w:rsid w:val="00A14E96"/>
    <w:rsid w:val="00A17A2A"/>
    <w:rsid w:val="00A20092"/>
    <w:rsid w:val="00A20286"/>
    <w:rsid w:val="00A20331"/>
    <w:rsid w:val="00A209D4"/>
    <w:rsid w:val="00A21945"/>
    <w:rsid w:val="00A21D89"/>
    <w:rsid w:val="00A21EB3"/>
    <w:rsid w:val="00A2372C"/>
    <w:rsid w:val="00A238E4"/>
    <w:rsid w:val="00A239A7"/>
    <w:rsid w:val="00A23BEF"/>
    <w:rsid w:val="00A24198"/>
    <w:rsid w:val="00A247C4"/>
    <w:rsid w:val="00A24C62"/>
    <w:rsid w:val="00A26CE1"/>
    <w:rsid w:val="00A300E6"/>
    <w:rsid w:val="00A3036E"/>
    <w:rsid w:val="00A310F5"/>
    <w:rsid w:val="00A31DA4"/>
    <w:rsid w:val="00A32880"/>
    <w:rsid w:val="00A3291E"/>
    <w:rsid w:val="00A3306F"/>
    <w:rsid w:val="00A3429E"/>
    <w:rsid w:val="00A34372"/>
    <w:rsid w:val="00A349D8"/>
    <w:rsid w:val="00A34E22"/>
    <w:rsid w:val="00A364AB"/>
    <w:rsid w:val="00A3652C"/>
    <w:rsid w:val="00A36991"/>
    <w:rsid w:val="00A400A6"/>
    <w:rsid w:val="00A4175B"/>
    <w:rsid w:val="00A42085"/>
    <w:rsid w:val="00A42321"/>
    <w:rsid w:val="00A4331A"/>
    <w:rsid w:val="00A43F9C"/>
    <w:rsid w:val="00A448A3"/>
    <w:rsid w:val="00A50E51"/>
    <w:rsid w:val="00A523D8"/>
    <w:rsid w:val="00A53223"/>
    <w:rsid w:val="00A532A8"/>
    <w:rsid w:val="00A53353"/>
    <w:rsid w:val="00A53C75"/>
    <w:rsid w:val="00A54055"/>
    <w:rsid w:val="00A5409E"/>
    <w:rsid w:val="00A56B77"/>
    <w:rsid w:val="00A57866"/>
    <w:rsid w:val="00A57B4C"/>
    <w:rsid w:val="00A60A6E"/>
    <w:rsid w:val="00A60D58"/>
    <w:rsid w:val="00A61EBC"/>
    <w:rsid w:val="00A641B9"/>
    <w:rsid w:val="00A6559E"/>
    <w:rsid w:val="00A65FE2"/>
    <w:rsid w:val="00A66AD3"/>
    <w:rsid w:val="00A6706B"/>
    <w:rsid w:val="00A67365"/>
    <w:rsid w:val="00A67FBD"/>
    <w:rsid w:val="00A70BB3"/>
    <w:rsid w:val="00A70FA7"/>
    <w:rsid w:val="00A7207E"/>
    <w:rsid w:val="00A7525C"/>
    <w:rsid w:val="00A75355"/>
    <w:rsid w:val="00A75546"/>
    <w:rsid w:val="00A75801"/>
    <w:rsid w:val="00A75B6D"/>
    <w:rsid w:val="00A80147"/>
    <w:rsid w:val="00A80484"/>
    <w:rsid w:val="00A80A37"/>
    <w:rsid w:val="00A80D66"/>
    <w:rsid w:val="00A8316D"/>
    <w:rsid w:val="00A83DEE"/>
    <w:rsid w:val="00A8629C"/>
    <w:rsid w:val="00A86EF8"/>
    <w:rsid w:val="00A8711B"/>
    <w:rsid w:val="00A87F8A"/>
    <w:rsid w:val="00A900F1"/>
    <w:rsid w:val="00A905BF"/>
    <w:rsid w:val="00A9062C"/>
    <w:rsid w:val="00A91FBA"/>
    <w:rsid w:val="00A92331"/>
    <w:rsid w:val="00A92C60"/>
    <w:rsid w:val="00A935CA"/>
    <w:rsid w:val="00A93B6E"/>
    <w:rsid w:val="00A94C57"/>
    <w:rsid w:val="00A966B0"/>
    <w:rsid w:val="00A97456"/>
    <w:rsid w:val="00A979F3"/>
    <w:rsid w:val="00A97BFF"/>
    <w:rsid w:val="00AA1979"/>
    <w:rsid w:val="00AA1C07"/>
    <w:rsid w:val="00AA1F2F"/>
    <w:rsid w:val="00AA3A7C"/>
    <w:rsid w:val="00AA45E1"/>
    <w:rsid w:val="00AA5344"/>
    <w:rsid w:val="00AA6405"/>
    <w:rsid w:val="00AA64A6"/>
    <w:rsid w:val="00AA6714"/>
    <w:rsid w:val="00AA6ACC"/>
    <w:rsid w:val="00AB0730"/>
    <w:rsid w:val="00AB08F4"/>
    <w:rsid w:val="00AB0946"/>
    <w:rsid w:val="00AB0F33"/>
    <w:rsid w:val="00AB137C"/>
    <w:rsid w:val="00AB3BE8"/>
    <w:rsid w:val="00AB4641"/>
    <w:rsid w:val="00AB4AD6"/>
    <w:rsid w:val="00AB511C"/>
    <w:rsid w:val="00AB53C5"/>
    <w:rsid w:val="00AB6740"/>
    <w:rsid w:val="00AB7105"/>
    <w:rsid w:val="00AB7848"/>
    <w:rsid w:val="00AB7D2E"/>
    <w:rsid w:val="00AC1831"/>
    <w:rsid w:val="00AC3E15"/>
    <w:rsid w:val="00AC4A28"/>
    <w:rsid w:val="00AC6178"/>
    <w:rsid w:val="00AC7560"/>
    <w:rsid w:val="00AC7E1E"/>
    <w:rsid w:val="00AD0083"/>
    <w:rsid w:val="00AD125C"/>
    <w:rsid w:val="00AD2A06"/>
    <w:rsid w:val="00AD3E4C"/>
    <w:rsid w:val="00AD46EF"/>
    <w:rsid w:val="00AD47E6"/>
    <w:rsid w:val="00AD4C87"/>
    <w:rsid w:val="00AD5D5F"/>
    <w:rsid w:val="00AD7511"/>
    <w:rsid w:val="00AD763C"/>
    <w:rsid w:val="00AE0B89"/>
    <w:rsid w:val="00AE1287"/>
    <w:rsid w:val="00AE1930"/>
    <w:rsid w:val="00AE1B0B"/>
    <w:rsid w:val="00AE1C6E"/>
    <w:rsid w:val="00AE2968"/>
    <w:rsid w:val="00AE2BE4"/>
    <w:rsid w:val="00AE3001"/>
    <w:rsid w:val="00AE334E"/>
    <w:rsid w:val="00AE5322"/>
    <w:rsid w:val="00AE6F21"/>
    <w:rsid w:val="00AE72EC"/>
    <w:rsid w:val="00AE777D"/>
    <w:rsid w:val="00AF04FB"/>
    <w:rsid w:val="00AF0737"/>
    <w:rsid w:val="00AF0B3B"/>
    <w:rsid w:val="00AF1302"/>
    <w:rsid w:val="00AF3010"/>
    <w:rsid w:val="00AF3A7C"/>
    <w:rsid w:val="00AF5CFA"/>
    <w:rsid w:val="00AF6FE5"/>
    <w:rsid w:val="00AF74B9"/>
    <w:rsid w:val="00AF7AB8"/>
    <w:rsid w:val="00AF7D30"/>
    <w:rsid w:val="00B00D1D"/>
    <w:rsid w:val="00B00EAC"/>
    <w:rsid w:val="00B0117D"/>
    <w:rsid w:val="00B0261B"/>
    <w:rsid w:val="00B03DE5"/>
    <w:rsid w:val="00B05CB8"/>
    <w:rsid w:val="00B05CBB"/>
    <w:rsid w:val="00B06EE8"/>
    <w:rsid w:val="00B10694"/>
    <w:rsid w:val="00B1077F"/>
    <w:rsid w:val="00B11311"/>
    <w:rsid w:val="00B11451"/>
    <w:rsid w:val="00B117FA"/>
    <w:rsid w:val="00B12772"/>
    <w:rsid w:val="00B13AA6"/>
    <w:rsid w:val="00B13EF3"/>
    <w:rsid w:val="00B1429E"/>
    <w:rsid w:val="00B15B40"/>
    <w:rsid w:val="00B163BC"/>
    <w:rsid w:val="00B16E32"/>
    <w:rsid w:val="00B16E83"/>
    <w:rsid w:val="00B17063"/>
    <w:rsid w:val="00B17FA8"/>
    <w:rsid w:val="00B20080"/>
    <w:rsid w:val="00B20278"/>
    <w:rsid w:val="00B21D6A"/>
    <w:rsid w:val="00B22706"/>
    <w:rsid w:val="00B2306B"/>
    <w:rsid w:val="00B25356"/>
    <w:rsid w:val="00B266C7"/>
    <w:rsid w:val="00B27185"/>
    <w:rsid w:val="00B32323"/>
    <w:rsid w:val="00B328DE"/>
    <w:rsid w:val="00B33107"/>
    <w:rsid w:val="00B3316E"/>
    <w:rsid w:val="00B33B5F"/>
    <w:rsid w:val="00B33C51"/>
    <w:rsid w:val="00B33CC2"/>
    <w:rsid w:val="00B34100"/>
    <w:rsid w:val="00B357B1"/>
    <w:rsid w:val="00B36A30"/>
    <w:rsid w:val="00B379D1"/>
    <w:rsid w:val="00B37B8D"/>
    <w:rsid w:val="00B40A11"/>
    <w:rsid w:val="00B40F67"/>
    <w:rsid w:val="00B42269"/>
    <w:rsid w:val="00B42DAF"/>
    <w:rsid w:val="00B435E6"/>
    <w:rsid w:val="00B43779"/>
    <w:rsid w:val="00B43989"/>
    <w:rsid w:val="00B44CAC"/>
    <w:rsid w:val="00B44EB4"/>
    <w:rsid w:val="00B45394"/>
    <w:rsid w:val="00B45580"/>
    <w:rsid w:val="00B45ED7"/>
    <w:rsid w:val="00B46A75"/>
    <w:rsid w:val="00B47E3E"/>
    <w:rsid w:val="00B50083"/>
    <w:rsid w:val="00B512B2"/>
    <w:rsid w:val="00B521A4"/>
    <w:rsid w:val="00B529E8"/>
    <w:rsid w:val="00B539D3"/>
    <w:rsid w:val="00B54E53"/>
    <w:rsid w:val="00B5590B"/>
    <w:rsid w:val="00B55F18"/>
    <w:rsid w:val="00B55F4E"/>
    <w:rsid w:val="00B55FC7"/>
    <w:rsid w:val="00B56209"/>
    <w:rsid w:val="00B564A5"/>
    <w:rsid w:val="00B564EA"/>
    <w:rsid w:val="00B57F67"/>
    <w:rsid w:val="00B60EA7"/>
    <w:rsid w:val="00B6114C"/>
    <w:rsid w:val="00B61FB1"/>
    <w:rsid w:val="00B6249D"/>
    <w:rsid w:val="00B63D16"/>
    <w:rsid w:val="00B64678"/>
    <w:rsid w:val="00B65CCB"/>
    <w:rsid w:val="00B65D71"/>
    <w:rsid w:val="00B66421"/>
    <w:rsid w:val="00B667D7"/>
    <w:rsid w:val="00B673B7"/>
    <w:rsid w:val="00B67656"/>
    <w:rsid w:val="00B67BD2"/>
    <w:rsid w:val="00B67D38"/>
    <w:rsid w:val="00B7029D"/>
    <w:rsid w:val="00B705FE"/>
    <w:rsid w:val="00B70971"/>
    <w:rsid w:val="00B710BB"/>
    <w:rsid w:val="00B714CC"/>
    <w:rsid w:val="00B719EA"/>
    <w:rsid w:val="00B71DB2"/>
    <w:rsid w:val="00B72F6C"/>
    <w:rsid w:val="00B73014"/>
    <w:rsid w:val="00B732FB"/>
    <w:rsid w:val="00B73422"/>
    <w:rsid w:val="00B74D3A"/>
    <w:rsid w:val="00B75FB3"/>
    <w:rsid w:val="00B80DED"/>
    <w:rsid w:val="00B8136E"/>
    <w:rsid w:val="00B81F81"/>
    <w:rsid w:val="00B84868"/>
    <w:rsid w:val="00B84C8D"/>
    <w:rsid w:val="00B851DF"/>
    <w:rsid w:val="00B87013"/>
    <w:rsid w:val="00B8785A"/>
    <w:rsid w:val="00B87FDF"/>
    <w:rsid w:val="00B91359"/>
    <w:rsid w:val="00B91964"/>
    <w:rsid w:val="00B921EE"/>
    <w:rsid w:val="00B9326D"/>
    <w:rsid w:val="00B934EA"/>
    <w:rsid w:val="00B9380B"/>
    <w:rsid w:val="00B93E23"/>
    <w:rsid w:val="00B93EAD"/>
    <w:rsid w:val="00B943C9"/>
    <w:rsid w:val="00B9514C"/>
    <w:rsid w:val="00B95325"/>
    <w:rsid w:val="00B9586D"/>
    <w:rsid w:val="00B9657B"/>
    <w:rsid w:val="00B96706"/>
    <w:rsid w:val="00B9720A"/>
    <w:rsid w:val="00BA0C93"/>
    <w:rsid w:val="00BA1DA6"/>
    <w:rsid w:val="00BA2DE9"/>
    <w:rsid w:val="00BA30B0"/>
    <w:rsid w:val="00BA3AA1"/>
    <w:rsid w:val="00BA3D0B"/>
    <w:rsid w:val="00BA3D11"/>
    <w:rsid w:val="00BA4CC5"/>
    <w:rsid w:val="00BA639A"/>
    <w:rsid w:val="00BA74E3"/>
    <w:rsid w:val="00BB0112"/>
    <w:rsid w:val="00BB1D2B"/>
    <w:rsid w:val="00BB3639"/>
    <w:rsid w:val="00BB4683"/>
    <w:rsid w:val="00BB47C0"/>
    <w:rsid w:val="00BB4DC9"/>
    <w:rsid w:val="00BB664E"/>
    <w:rsid w:val="00BB6811"/>
    <w:rsid w:val="00BB68FD"/>
    <w:rsid w:val="00BB6D82"/>
    <w:rsid w:val="00BB76E3"/>
    <w:rsid w:val="00BC02F8"/>
    <w:rsid w:val="00BC1ED2"/>
    <w:rsid w:val="00BC2D93"/>
    <w:rsid w:val="00BC35CC"/>
    <w:rsid w:val="00BC541D"/>
    <w:rsid w:val="00BC5441"/>
    <w:rsid w:val="00BC6ABC"/>
    <w:rsid w:val="00BC6E6B"/>
    <w:rsid w:val="00BC6EBE"/>
    <w:rsid w:val="00BD0855"/>
    <w:rsid w:val="00BD0B85"/>
    <w:rsid w:val="00BD0CF3"/>
    <w:rsid w:val="00BD0D52"/>
    <w:rsid w:val="00BD21A0"/>
    <w:rsid w:val="00BD2A56"/>
    <w:rsid w:val="00BD3261"/>
    <w:rsid w:val="00BD3939"/>
    <w:rsid w:val="00BD3D96"/>
    <w:rsid w:val="00BD473F"/>
    <w:rsid w:val="00BD48B3"/>
    <w:rsid w:val="00BD49F8"/>
    <w:rsid w:val="00BD6967"/>
    <w:rsid w:val="00BD725A"/>
    <w:rsid w:val="00BE11CB"/>
    <w:rsid w:val="00BE1687"/>
    <w:rsid w:val="00BE17B8"/>
    <w:rsid w:val="00BE1981"/>
    <w:rsid w:val="00BE1C8C"/>
    <w:rsid w:val="00BE1F91"/>
    <w:rsid w:val="00BE4344"/>
    <w:rsid w:val="00BE5B34"/>
    <w:rsid w:val="00BE6642"/>
    <w:rsid w:val="00BE6B26"/>
    <w:rsid w:val="00BF099D"/>
    <w:rsid w:val="00BF0B04"/>
    <w:rsid w:val="00BF0EE9"/>
    <w:rsid w:val="00BF12E8"/>
    <w:rsid w:val="00BF2135"/>
    <w:rsid w:val="00BF5194"/>
    <w:rsid w:val="00BF5E91"/>
    <w:rsid w:val="00BF6413"/>
    <w:rsid w:val="00BF6D3A"/>
    <w:rsid w:val="00BF718A"/>
    <w:rsid w:val="00BF76C9"/>
    <w:rsid w:val="00BF7734"/>
    <w:rsid w:val="00C007F5"/>
    <w:rsid w:val="00C00E8D"/>
    <w:rsid w:val="00C01B20"/>
    <w:rsid w:val="00C01E4A"/>
    <w:rsid w:val="00C0349B"/>
    <w:rsid w:val="00C03CF1"/>
    <w:rsid w:val="00C04230"/>
    <w:rsid w:val="00C0451C"/>
    <w:rsid w:val="00C079A2"/>
    <w:rsid w:val="00C07EBB"/>
    <w:rsid w:val="00C07FB7"/>
    <w:rsid w:val="00C111B9"/>
    <w:rsid w:val="00C11E10"/>
    <w:rsid w:val="00C12425"/>
    <w:rsid w:val="00C13182"/>
    <w:rsid w:val="00C13545"/>
    <w:rsid w:val="00C14B2E"/>
    <w:rsid w:val="00C153A7"/>
    <w:rsid w:val="00C15717"/>
    <w:rsid w:val="00C1592F"/>
    <w:rsid w:val="00C171B4"/>
    <w:rsid w:val="00C174CA"/>
    <w:rsid w:val="00C177EC"/>
    <w:rsid w:val="00C20925"/>
    <w:rsid w:val="00C2296D"/>
    <w:rsid w:val="00C234B6"/>
    <w:rsid w:val="00C23B1F"/>
    <w:rsid w:val="00C2463A"/>
    <w:rsid w:val="00C24B73"/>
    <w:rsid w:val="00C271CC"/>
    <w:rsid w:val="00C30DC0"/>
    <w:rsid w:val="00C3106A"/>
    <w:rsid w:val="00C32513"/>
    <w:rsid w:val="00C3263E"/>
    <w:rsid w:val="00C327FF"/>
    <w:rsid w:val="00C335CC"/>
    <w:rsid w:val="00C339F8"/>
    <w:rsid w:val="00C351D5"/>
    <w:rsid w:val="00C3520D"/>
    <w:rsid w:val="00C35830"/>
    <w:rsid w:val="00C36FEB"/>
    <w:rsid w:val="00C37427"/>
    <w:rsid w:val="00C379A1"/>
    <w:rsid w:val="00C40ECB"/>
    <w:rsid w:val="00C41181"/>
    <w:rsid w:val="00C41576"/>
    <w:rsid w:val="00C42F7B"/>
    <w:rsid w:val="00C45107"/>
    <w:rsid w:val="00C4576F"/>
    <w:rsid w:val="00C46331"/>
    <w:rsid w:val="00C512BF"/>
    <w:rsid w:val="00C5200F"/>
    <w:rsid w:val="00C528FD"/>
    <w:rsid w:val="00C53CD7"/>
    <w:rsid w:val="00C53D77"/>
    <w:rsid w:val="00C53DFB"/>
    <w:rsid w:val="00C54123"/>
    <w:rsid w:val="00C54E10"/>
    <w:rsid w:val="00C54F1B"/>
    <w:rsid w:val="00C554F7"/>
    <w:rsid w:val="00C55CC9"/>
    <w:rsid w:val="00C5737F"/>
    <w:rsid w:val="00C5740B"/>
    <w:rsid w:val="00C57A7F"/>
    <w:rsid w:val="00C57ABD"/>
    <w:rsid w:val="00C60D40"/>
    <w:rsid w:val="00C61AF5"/>
    <w:rsid w:val="00C6293D"/>
    <w:rsid w:val="00C6340A"/>
    <w:rsid w:val="00C63C0C"/>
    <w:rsid w:val="00C64554"/>
    <w:rsid w:val="00C64D43"/>
    <w:rsid w:val="00C654B2"/>
    <w:rsid w:val="00C657DD"/>
    <w:rsid w:val="00C659AD"/>
    <w:rsid w:val="00C6685D"/>
    <w:rsid w:val="00C66D53"/>
    <w:rsid w:val="00C66E88"/>
    <w:rsid w:val="00C67CA6"/>
    <w:rsid w:val="00C705DE"/>
    <w:rsid w:val="00C713EF"/>
    <w:rsid w:val="00C724F6"/>
    <w:rsid w:val="00C729E7"/>
    <w:rsid w:val="00C73275"/>
    <w:rsid w:val="00C73AFF"/>
    <w:rsid w:val="00C73D16"/>
    <w:rsid w:val="00C74909"/>
    <w:rsid w:val="00C74AA3"/>
    <w:rsid w:val="00C74AA7"/>
    <w:rsid w:val="00C74AA8"/>
    <w:rsid w:val="00C76121"/>
    <w:rsid w:val="00C76E10"/>
    <w:rsid w:val="00C77350"/>
    <w:rsid w:val="00C80D2C"/>
    <w:rsid w:val="00C8150A"/>
    <w:rsid w:val="00C83420"/>
    <w:rsid w:val="00C83D55"/>
    <w:rsid w:val="00C85E00"/>
    <w:rsid w:val="00C87202"/>
    <w:rsid w:val="00C87CE6"/>
    <w:rsid w:val="00C902AD"/>
    <w:rsid w:val="00C91255"/>
    <w:rsid w:val="00C91321"/>
    <w:rsid w:val="00C92D4C"/>
    <w:rsid w:val="00C94B6C"/>
    <w:rsid w:val="00C94B81"/>
    <w:rsid w:val="00C95CAF"/>
    <w:rsid w:val="00C95F8A"/>
    <w:rsid w:val="00C9714E"/>
    <w:rsid w:val="00C976E2"/>
    <w:rsid w:val="00C97795"/>
    <w:rsid w:val="00C97FC4"/>
    <w:rsid w:val="00CA05AF"/>
    <w:rsid w:val="00CA07E8"/>
    <w:rsid w:val="00CA0821"/>
    <w:rsid w:val="00CA1DC9"/>
    <w:rsid w:val="00CA2D67"/>
    <w:rsid w:val="00CA2E9E"/>
    <w:rsid w:val="00CA3547"/>
    <w:rsid w:val="00CA35DE"/>
    <w:rsid w:val="00CA36CB"/>
    <w:rsid w:val="00CA38AB"/>
    <w:rsid w:val="00CA39BE"/>
    <w:rsid w:val="00CA4DDF"/>
    <w:rsid w:val="00CA55AB"/>
    <w:rsid w:val="00CA69D2"/>
    <w:rsid w:val="00CA7E81"/>
    <w:rsid w:val="00CB0B94"/>
    <w:rsid w:val="00CB0CBD"/>
    <w:rsid w:val="00CB0E45"/>
    <w:rsid w:val="00CB13C4"/>
    <w:rsid w:val="00CB236A"/>
    <w:rsid w:val="00CB2955"/>
    <w:rsid w:val="00CB34E6"/>
    <w:rsid w:val="00CB3618"/>
    <w:rsid w:val="00CB3FE9"/>
    <w:rsid w:val="00CB4169"/>
    <w:rsid w:val="00CB6245"/>
    <w:rsid w:val="00CB687A"/>
    <w:rsid w:val="00CB7F5E"/>
    <w:rsid w:val="00CC0190"/>
    <w:rsid w:val="00CC0526"/>
    <w:rsid w:val="00CC09C4"/>
    <w:rsid w:val="00CC0BA5"/>
    <w:rsid w:val="00CC18ED"/>
    <w:rsid w:val="00CC265A"/>
    <w:rsid w:val="00CC2888"/>
    <w:rsid w:val="00CC36C0"/>
    <w:rsid w:val="00CC41BD"/>
    <w:rsid w:val="00CC4983"/>
    <w:rsid w:val="00CC4FE9"/>
    <w:rsid w:val="00CD06F3"/>
    <w:rsid w:val="00CD0BAF"/>
    <w:rsid w:val="00CD117D"/>
    <w:rsid w:val="00CD163B"/>
    <w:rsid w:val="00CD2D6D"/>
    <w:rsid w:val="00CD2E2B"/>
    <w:rsid w:val="00CD3CCC"/>
    <w:rsid w:val="00CD44A9"/>
    <w:rsid w:val="00CD629E"/>
    <w:rsid w:val="00CE043C"/>
    <w:rsid w:val="00CE13DB"/>
    <w:rsid w:val="00CE34CA"/>
    <w:rsid w:val="00CE37F9"/>
    <w:rsid w:val="00CE3AC1"/>
    <w:rsid w:val="00CE43F3"/>
    <w:rsid w:val="00CE5A08"/>
    <w:rsid w:val="00CE5CC5"/>
    <w:rsid w:val="00CE721C"/>
    <w:rsid w:val="00CF2186"/>
    <w:rsid w:val="00CF3491"/>
    <w:rsid w:val="00CF3974"/>
    <w:rsid w:val="00CF441C"/>
    <w:rsid w:val="00CF483D"/>
    <w:rsid w:val="00CF537B"/>
    <w:rsid w:val="00CF5C7A"/>
    <w:rsid w:val="00CF6824"/>
    <w:rsid w:val="00CF68B3"/>
    <w:rsid w:val="00D0030C"/>
    <w:rsid w:val="00D0047A"/>
    <w:rsid w:val="00D006E9"/>
    <w:rsid w:val="00D0159E"/>
    <w:rsid w:val="00D01969"/>
    <w:rsid w:val="00D01BCC"/>
    <w:rsid w:val="00D01F26"/>
    <w:rsid w:val="00D02C93"/>
    <w:rsid w:val="00D0373C"/>
    <w:rsid w:val="00D046D3"/>
    <w:rsid w:val="00D04761"/>
    <w:rsid w:val="00D04EB6"/>
    <w:rsid w:val="00D057F6"/>
    <w:rsid w:val="00D05C12"/>
    <w:rsid w:val="00D06290"/>
    <w:rsid w:val="00D06704"/>
    <w:rsid w:val="00D105D6"/>
    <w:rsid w:val="00D10F8F"/>
    <w:rsid w:val="00D116D7"/>
    <w:rsid w:val="00D11703"/>
    <w:rsid w:val="00D127F8"/>
    <w:rsid w:val="00D15330"/>
    <w:rsid w:val="00D15FF1"/>
    <w:rsid w:val="00D16C39"/>
    <w:rsid w:val="00D17E0E"/>
    <w:rsid w:val="00D2139E"/>
    <w:rsid w:val="00D218BB"/>
    <w:rsid w:val="00D21CA8"/>
    <w:rsid w:val="00D22433"/>
    <w:rsid w:val="00D22E31"/>
    <w:rsid w:val="00D230CE"/>
    <w:rsid w:val="00D24209"/>
    <w:rsid w:val="00D24DF2"/>
    <w:rsid w:val="00D25047"/>
    <w:rsid w:val="00D251FC"/>
    <w:rsid w:val="00D257A5"/>
    <w:rsid w:val="00D257D1"/>
    <w:rsid w:val="00D25A4B"/>
    <w:rsid w:val="00D26030"/>
    <w:rsid w:val="00D27B74"/>
    <w:rsid w:val="00D30761"/>
    <w:rsid w:val="00D3077D"/>
    <w:rsid w:val="00D30C4C"/>
    <w:rsid w:val="00D3256A"/>
    <w:rsid w:val="00D32990"/>
    <w:rsid w:val="00D33EF1"/>
    <w:rsid w:val="00D34A51"/>
    <w:rsid w:val="00D35589"/>
    <w:rsid w:val="00D357C1"/>
    <w:rsid w:val="00D3622A"/>
    <w:rsid w:val="00D37697"/>
    <w:rsid w:val="00D410EC"/>
    <w:rsid w:val="00D42C6D"/>
    <w:rsid w:val="00D4368E"/>
    <w:rsid w:val="00D4509A"/>
    <w:rsid w:val="00D451E5"/>
    <w:rsid w:val="00D459E6"/>
    <w:rsid w:val="00D4630D"/>
    <w:rsid w:val="00D473A9"/>
    <w:rsid w:val="00D47508"/>
    <w:rsid w:val="00D476E2"/>
    <w:rsid w:val="00D47C5C"/>
    <w:rsid w:val="00D50827"/>
    <w:rsid w:val="00D51B33"/>
    <w:rsid w:val="00D52264"/>
    <w:rsid w:val="00D53745"/>
    <w:rsid w:val="00D538D7"/>
    <w:rsid w:val="00D544A8"/>
    <w:rsid w:val="00D54A60"/>
    <w:rsid w:val="00D54D7B"/>
    <w:rsid w:val="00D55DB5"/>
    <w:rsid w:val="00D6031B"/>
    <w:rsid w:val="00D60CFB"/>
    <w:rsid w:val="00D60F5B"/>
    <w:rsid w:val="00D614B1"/>
    <w:rsid w:val="00D61D6A"/>
    <w:rsid w:val="00D62A81"/>
    <w:rsid w:val="00D62B18"/>
    <w:rsid w:val="00D62DE3"/>
    <w:rsid w:val="00D62F5C"/>
    <w:rsid w:val="00D634BE"/>
    <w:rsid w:val="00D6392D"/>
    <w:rsid w:val="00D65A45"/>
    <w:rsid w:val="00D65A98"/>
    <w:rsid w:val="00D66052"/>
    <w:rsid w:val="00D66439"/>
    <w:rsid w:val="00D66AE9"/>
    <w:rsid w:val="00D66B6F"/>
    <w:rsid w:val="00D670A3"/>
    <w:rsid w:val="00D701A9"/>
    <w:rsid w:val="00D70963"/>
    <w:rsid w:val="00D71F2A"/>
    <w:rsid w:val="00D7321C"/>
    <w:rsid w:val="00D7476E"/>
    <w:rsid w:val="00D751CF"/>
    <w:rsid w:val="00D75A09"/>
    <w:rsid w:val="00D761C7"/>
    <w:rsid w:val="00D76940"/>
    <w:rsid w:val="00D77BBD"/>
    <w:rsid w:val="00D8022E"/>
    <w:rsid w:val="00D8023E"/>
    <w:rsid w:val="00D80310"/>
    <w:rsid w:val="00D81895"/>
    <w:rsid w:val="00D824CE"/>
    <w:rsid w:val="00D84345"/>
    <w:rsid w:val="00D84B8F"/>
    <w:rsid w:val="00D857BB"/>
    <w:rsid w:val="00D86597"/>
    <w:rsid w:val="00D900BC"/>
    <w:rsid w:val="00D907FF"/>
    <w:rsid w:val="00D916F5"/>
    <w:rsid w:val="00D92CD5"/>
    <w:rsid w:val="00D938E8"/>
    <w:rsid w:val="00D95119"/>
    <w:rsid w:val="00D967F5"/>
    <w:rsid w:val="00D97E36"/>
    <w:rsid w:val="00DA02A0"/>
    <w:rsid w:val="00DA0EA5"/>
    <w:rsid w:val="00DA0FC5"/>
    <w:rsid w:val="00DA1F5F"/>
    <w:rsid w:val="00DA2A8B"/>
    <w:rsid w:val="00DA2AA0"/>
    <w:rsid w:val="00DA2D2F"/>
    <w:rsid w:val="00DA3D33"/>
    <w:rsid w:val="00DA4059"/>
    <w:rsid w:val="00DA41DF"/>
    <w:rsid w:val="00DA4718"/>
    <w:rsid w:val="00DA555D"/>
    <w:rsid w:val="00DA556B"/>
    <w:rsid w:val="00DA55B7"/>
    <w:rsid w:val="00DA6159"/>
    <w:rsid w:val="00DA70F9"/>
    <w:rsid w:val="00DB0464"/>
    <w:rsid w:val="00DB078E"/>
    <w:rsid w:val="00DB0971"/>
    <w:rsid w:val="00DB1BEB"/>
    <w:rsid w:val="00DB2254"/>
    <w:rsid w:val="00DB270D"/>
    <w:rsid w:val="00DB2D08"/>
    <w:rsid w:val="00DB3F1F"/>
    <w:rsid w:val="00DB4E16"/>
    <w:rsid w:val="00DB6069"/>
    <w:rsid w:val="00DB7E13"/>
    <w:rsid w:val="00DC05CF"/>
    <w:rsid w:val="00DC0C1D"/>
    <w:rsid w:val="00DC146A"/>
    <w:rsid w:val="00DC2014"/>
    <w:rsid w:val="00DC2AB8"/>
    <w:rsid w:val="00DC2CBC"/>
    <w:rsid w:val="00DC51C5"/>
    <w:rsid w:val="00DC55B9"/>
    <w:rsid w:val="00DC5641"/>
    <w:rsid w:val="00DC5C01"/>
    <w:rsid w:val="00DC5EA0"/>
    <w:rsid w:val="00DC603E"/>
    <w:rsid w:val="00DC6492"/>
    <w:rsid w:val="00DC6B63"/>
    <w:rsid w:val="00DD0362"/>
    <w:rsid w:val="00DD0D9C"/>
    <w:rsid w:val="00DD1BF9"/>
    <w:rsid w:val="00DD1C87"/>
    <w:rsid w:val="00DD1D63"/>
    <w:rsid w:val="00DD26D8"/>
    <w:rsid w:val="00DD2E8D"/>
    <w:rsid w:val="00DD3269"/>
    <w:rsid w:val="00DD3E1F"/>
    <w:rsid w:val="00DD4E41"/>
    <w:rsid w:val="00DD528B"/>
    <w:rsid w:val="00DD6632"/>
    <w:rsid w:val="00DE041C"/>
    <w:rsid w:val="00DE0AB3"/>
    <w:rsid w:val="00DE0D80"/>
    <w:rsid w:val="00DE0E45"/>
    <w:rsid w:val="00DE17D9"/>
    <w:rsid w:val="00DE1A5A"/>
    <w:rsid w:val="00DE1B9B"/>
    <w:rsid w:val="00DE233E"/>
    <w:rsid w:val="00DE259F"/>
    <w:rsid w:val="00DE2720"/>
    <w:rsid w:val="00DE2D03"/>
    <w:rsid w:val="00DE5695"/>
    <w:rsid w:val="00DE5737"/>
    <w:rsid w:val="00DE63BF"/>
    <w:rsid w:val="00DE728E"/>
    <w:rsid w:val="00DF049D"/>
    <w:rsid w:val="00DF050E"/>
    <w:rsid w:val="00DF06BC"/>
    <w:rsid w:val="00DF089B"/>
    <w:rsid w:val="00DF1743"/>
    <w:rsid w:val="00DF2BDA"/>
    <w:rsid w:val="00DF3F87"/>
    <w:rsid w:val="00DF4BCB"/>
    <w:rsid w:val="00DF507E"/>
    <w:rsid w:val="00DF582C"/>
    <w:rsid w:val="00DF58E2"/>
    <w:rsid w:val="00DF5A86"/>
    <w:rsid w:val="00E00FAE"/>
    <w:rsid w:val="00E01542"/>
    <w:rsid w:val="00E01D8E"/>
    <w:rsid w:val="00E022F2"/>
    <w:rsid w:val="00E023A6"/>
    <w:rsid w:val="00E03B44"/>
    <w:rsid w:val="00E044D7"/>
    <w:rsid w:val="00E04BC8"/>
    <w:rsid w:val="00E05622"/>
    <w:rsid w:val="00E05741"/>
    <w:rsid w:val="00E06086"/>
    <w:rsid w:val="00E0661B"/>
    <w:rsid w:val="00E06899"/>
    <w:rsid w:val="00E06B03"/>
    <w:rsid w:val="00E0748E"/>
    <w:rsid w:val="00E07DE8"/>
    <w:rsid w:val="00E10C5C"/>
    <w:rsid w:val="00E11186"/>
    <w:rsid w:val="00E11945"/>
    <w:rsid w:val="00E11FF5"/>
    <w:rsid w:val="00E1254B"/>
    <w:rsid w:val="00E12844"/>
    <w:rsid w:val="00E12DCF"/>
    <w:rsid w:val="00E12DF9"/>
    <w:rsid w:val="00E13F1C"/>
    <w:rsid w:val="00E143B2"/>
    <w:rsid w:val="00E15DF3"/>
    <w:rsid w:val="00E17964"/>
    <w:rsid w:val="00E209C0"/>
    <w:rsid w:val="00E214F3"/>
    <w:rsid w:val="00E22586"/>
    <w:rsid w:val="00E23B1B"/>
    <w:rsid w:val="00E23BC1"/>
    <w:rsid w:val="00E2484D"/>
    <w:rsid w:val="00E24D08"/>
    <w:rsid w:val="00E26376"/>
    <w:rsid w:val="00E2668F"/>
    <w:rsid w:val="00E26F9D"/>
    <w:rsid w:val="00E27FAD"/>
    <w:rsid w:val="00E301F3"/>
    <w:rsid w:val="00E302D7"/>
    <w:rsid w:val="00E3056D"/>
    <w:rsid w:val="00E307FF"/>
    <w:rsid w:val="00E30920"/>
    <w:rsid w:val="00E3193E"/>
    <w:rsid w:val="00E3241F"/>
    <w:rsid w:val="00E33193"/>
    <w:rsid w:val="00E33864"/>
    <w:rsid w:val="00E339A2"/>
    <w:rsid w:val="00E35AE5"/>
    <w:rsid w:val="00E378D0"/>
    <w:rsid w:val="00E40D31"/>
    <w:rsid w:val="00E41555"/>
    <w:rsid w:val="00E41660"/>
    <w:rsid w:val="00E416F8"/>
    <w:rsid w:val="00E4185A"/>
    <w:rsid w:val="00E420EF"/>
    <w:rsid w:val="00E427EC"/>
    <w:rsid w:val="00E44380"/>
    <w:rsid w:val="00E44832"/>
    <w:rsid w:val="00E4487D"/>
    <w:rsid w:val="00E44C40"/>
    <w:rsid w:val="00E46D32"/>
    <w:rsid w:val="00E47EBD"/>
    <w:rsid w:val="00E5032B"/>
    <w:rsid w:val="00E52485"/>
    <w:rsid w:val="00E52CB9"/>
    <w:rsid w:val="00E5330A"/>
    <w:rsid w:val="00E55DB8"/>
    <w:rsid w:val="00E561C8"/>
    <w:rsid w:val="00E5715F"/>
    <w:rsid w:val="00E572C5"/>
    <w:rsid w:val="00E5773E"/>
    <w:rsid w:val="00E57866"/>
    <w:rsid w:val="00E5787D"/>
    <w:rsid w:val="00E57A56"/>
    <w:rsid w:val="00E60E6F"/>
    <w:rsid w:val="00E60F8A"/>
    <w:rsid w:val="00E615A3"/>
    <w:rsid w:val="00E61BD1"/>
    <w:rsid w:val="00E62024"/>
    <w:rsid w:val="00E626B1"/>
    <w:rsid w:val="00E643A5"/>
    <w:rsid w:val="00E64E01"/>
    <w:rsid w:val="00E67441"/>
    <w:rsid w:val="00E700E7"/>
    <w:rsid w:val="00E71851"/>
    <w:rsid w:val="00E719FD"/>
    <w:rsid w:val="00E72788"/>
    <w:rsid w:val="00E7285C"/>
    <w:rsid w:val="00E72A70"/>
    <w:rsid w:val="00E72ADB"/>
    <w:rsid w:val="00E7323B"/>
    <w:rsid w:val="00E73367"/>
    <w:rsid w:val="00E73E82"/>
    <w:rsid w:val="00E73EE4"/>
    <w:rsid w:val="00E75BDD"/>
    <w:rsid w:val="00E75C26"/>
    <w:rsid w:val="00E75C31"/>
    <w:rsid w:val="00E766D9"/>
    <w:rsid w:val="00E7787A"/>
    <w:rsid w:val="00E82B87"/>
    <w:rsid w:val="00E82C7F"/>
    <w:rsid w:val="00E82ECA"/>
    <w:rsid w:val="00E839D9"/>
    <w:rsid w:val="00E848E5"/>
    <w:rsid w:val="00E851CE"/>
    <w:rsid w:val="00E85348"/>
    <w:rsid w:val="00E85706"/>
    <w:rsid w:val="00E86594"/>
    <w:rsid w:val="00E86906"/>
    <w:rsid w:val="00E87748"/>
    <w:rsid w:val="00E87A97"/>
    <w:rsid w:val="00E87ACA"/>
    <w:rsid w:val="00E90219"/>
    <w:rsid w:val="00E911FB"/>
    <w:rsid w:val="00E9294E"/>
    <w:rsid w:val="00E93F09"/>
    <w:rsid w:val="00E94682"/>
    <w:rsid w:val="00E954AC"/>
    <w:rsid w:val="00E96D55"/>
    <w:rsid w:val="00E97535"/>
    <w:rsid w:val="00E9762C"/>
    <w:rsid w:val="00E977AD"/>
    <w:rsid w:val="00E97DED"/>
    <w:rsid w:val="00EA10F0"/>
    <w:rsid w:val="00EA14C4"/>
    <w:rsid w:val="00EA18C6"/>
    <w:rsid w:val="00EA1DD1"/>
    <w:rsid w:val="00EA1E19"/>
    <w:rsid w:val="00EA3C70"/>
    <w:rsid w:val="00EA3E9A"/>
    <w:rsid w:val="00EA45FE"/>
    <w:rsid w:val="00EA5949"/>
    <w:rsid w:val="00EA601C"/>
    <w:rsid w:val="00EA6039"/>
    <w:rsid w:val="00EA66C1"/>
    <w:rsid w:val="00EA677B"/>
    <w:rsid w:val="00EA797E"/>
    <w:rsid w:val="00EB0C3C"/>
    <w:rsid w:val="00EB3359"/>
    <w:rsid w:val="00EB3B41"/>
    <w:rsid w:val="00EB4F65"/>
    <w:rsid w:val="00EB663E"/>
    <w:rsid w:val="00EB6D59"/>
    <w:rsid w:val="00EB7A72"/>
    <w:rsid w:val="00EC0DAC"/>
    <w:rsid w:val="00EC1019"/>
    <w:rsid w:val="00EC2BE8"/>
    <w:rsid w:val="00EC2E48"/>
    <w:rsid w:val="00EC2F97"/>
    <w:rsid w:val="00EC3B1C"/>
    <w:rsid w:val="00EC3BA2"/>
    <w:rsid w:val="00EC3C2B"/>
    <w:rsid w:val="00EC3CD1"/>
    <w:rsid w:val="00EC4559"/>
    <w:rsid w:val="00EC4B81"/>
    <w:rsid w:val="00EC524F"/>
    <w:rsid w:val="00EC528A"/>
    <w:rsid w:val="00EC7B8C"/>
    <w:rsid w:val="00EC7EA0"/>
    <w:rsid w:val="00ED0012"/>
    <w:rsid w:val="00ED0076"/>
    <w:rsid w:val="00ED04B6"/>
    <w:rsid w:val="00ED0972"/>
    <w:rsid w:val="00ED1630"/>
    <w:rsid w:val="00ED1B2D"/>
    <w:rsid w:val="00ED2229"/>
    <w:rsid w:val="00ED235A"/>
    <w:rsid w:val="00ED39C1"/>
    <w:rsid w:val="00ED4D79"/>
    <w:rsid w:val="00ED7407"/>
    <w:rsid w:val="00ED7C7E"/>
    <w:rsid w:val="00ED7D3F"/>
    <w:rsid w:val="00EE0D2E"/>
    <w:rsid w:val="00EE1681"/>
    <w:rsid w:val="00EE194F"/>
    <w:rsid w:val="00EE20E9"/>
    <w:rsid w:val="00EE24E1"/>
    <w:rsid w:val="00EE3687"/>
    <w:rsid w:val="00EE4092"/>
    <w:rsid w:val="00EE4241"/>
    <w:rsid w:val="00EE568F"/>
    <w:rsid w:val="00EE5E66"/>
    <w:rsid w:val="00EE692C"/>
    <w:rsid w:val="00EE7A89"/>
    <w:rsid w:val="00EF0A84"/>
    <w:rsid w:val="00EF1678"/>
    <w:rsid w:val="00EF1966"/>
    <w:rsid w:val="00EF1E1C"/>
    <w:rsid w:val="00EF3588"/>
    <w:rsid w:val="00EF3839"/>
    <w:rsid w:val="00EF384A"/>
    <w:rsid w:val="00EF3983"/>
    <w:rsid w:val="00EF41EB"/>
    <w:rsid w:val="00EF422B"/>
    <w:rsid w:val="00EF4231"/>
    <w:rsid w:val="00EF470D"/>
    <w:rsid w:val="00EF5EBE"/>
    <w:rsid w:val="00EF6207"/>
    <w:rsid w:val="00EF6310"/>
    <w:rsid w:val="00EF638F"/>
    <w:rsid w:val="00EF6E9B"/>
    <w:rsid w:val="00EF7F26"/>
    <w:rsid w:val="00F011F1"/>
    <w:rsid w:val="00F01215"/>
    <w:rsid w:val="00F01346"/>
    <w:rsid w:val="00F02B34"/>
    <w:rsid w:val="00F040C8"/>
    <w:rsid w:val="00F04559"/>
    <w:rsid w:val="00F0500F"/>
    <w:rsid w:val="00F05B7B"/>
    <w:rsid w:val="00F076AE"/>
    <w:rsid w:val="00F10139"/>
    <w:rsid w:val="00F1094A"/>
    <w:rsid w:val="00F10F8F"/>
    <w:rsid w:val="00F11B1D"/>
    <w:rsid w:val="00F1224B"/>
    <w:rsid w:val="00F126AE"/>
    <w:rsid w:val="00F129F0"/>
    <w:rsid w:val="00F13073"/>
    <w:rsid w:val="00F14D8F"/>
    <w:rsid w:val="00F156B8"/>
    <w:rsid w:val="00F162E3"/>
    <w:rsid w:val="00F165EA"/>
    <w:rsid w:val="00F1673B"/>
    <w:rsid w:val="00F169A6"/>
    <w:rsid w:val="00F16FF9"/>
    <w:rsid w:val="00F173D4"/>
    <w:rsid w:val="00F212E6"/>
    <w:rsid w:val="00F217C9"/>
    <w:rsid w:val="00F228E3"/>
    <w:rsid w:val="00F22B4E"/>
    <w:rsid w:val="00F24F0D"/>
    <w:rsid w:val="00F255AD"/>
    <w:rsid w:val="00F25612"/>
    <w:rsid w:val="00F256FC"/>
    <w:rsid w:val="00F2588A"/>
    <w:rsid w:val="00F261C8"/>
    <w:rsid w:val="00F26208"/>
    <w:rsid w:val="00F26CA2"/>
    <w:rsid w:val="00F3005C"/>
    <w:rsid w:val="00F30B80"/>
    <w:rsid w:val="00F30BAA"/>
    <w:rsid w:val="00F31C9D"/>
    <w:rsid w:val="00F31F92"/>
    <w:rsid w:val="00F3246A"/>
    <w:rsid w:val="00F3290A"/>
    <w:rsid w:val="00F34333"/>
    <w:rsid w:val="00F37EAB"/>
    <w:rsid w:val="00F4070D"/>
    <w:rsid w:val="00F40F77"/>
    <w:rsid w:val="00F40FB9"/>
    <w:rsid w:val="00F410AA"/>
    <w:rsid w:val="00F4119B"/>
    <w:rsid w:val="00F41BE1"/>
    <w:rsid w:val="00F41CAE"/>
    <w:rsid w:val="00F42783"/>
    <w:rsid w:val="00F4283E"/>
    <w:rsid w:val="00F43EFD"/>
    <w:rsid w:val="00F43FC8"/>
    <w:rsid w:val="00F457F0"/>
    <w:rsid w:val="00F46C34"/>
    <w:rsid w:val="00F4730B"/>
    <w:rsid w:val="00F477D3"/>
    <w:rsid w:val="00F5040F"/>
    <w:rsid w:val="00F514F2"/>
    <w:rsid w:val="00F51BEE"/>
    <w:rsid w:val="00F51D82"/>
    <w:rsid w:val="00F5280E"/>
    <w:rsid w:val="00F52926"/>
    <w:rsid w:val="00F52FC6"/>
    <w:rsid w:val="00F538EF"/>
    <w:rsid w:val="00F54159"/>
    <w:rsid w:val="00F5421E"/>
    <w:rsid w:val="00F54D4D"/>
    <w:rsid w:val="00F54EDD"/>
    <w:rsid w:val="00F55286"/>
    <w:rsid w:val="00F55F5F"/>
    <w:rsid w:val="00F56735"/>
    <w:rsid w:val="00F569EB"/>
    <w:rsid w:val="00F57477"/>
    <w:rsid w:val="00F57B8C"/>
    <w:rsid w:val="00F60979"/>
    <w:rsid w:val="00F6155A"/>
    <w:rsid w:val="00F62447"/>
    <w:rsid w:val="00F62485"/>
    <w:rsid w:val="00F636CB"/>
    <w:rsid w:val="00F63B58"/>
    <w:rsid w:val="00F63B9E"/>
    <w:rsid w:val="00F6461C"/>
    <w:rsid w:val="00F647B8"/>
    <w:rsid w:val="00F650E3"/>
    <w:rsid w:val="00F65A35"/>
    <w:rsid w:val="00F663E0"/>
    <w:rsid w:val="00F66542"/>
    <w:rsid w:val="00F6716C"/>
    <w:rsid w:val="00F67200"/>
    <w:rsid w:val="00F67336"/>
    <w:rsid w:val="00F709ED"/>
    <w:rsid w:val="00F71F91"/>
    <w:rsid w:val="00F729A4"/>
    <w:rsid w:val="00F72BA2"/>
    <w:rsid w:val="00F72D3B"/>
    <w:rsid w:val="00F72E6D"/>
    <w:rsid w:val="00F738C8"/>
    <w:rsid w:val="00F743AC"/>
    <w:rsid w:val="00F75311"/>
    <w:rsid w:val="00F763D7"/>
    <w:rsid w:val="00F76C43"/>
    <w:rsid w:val="00F76F38"/>
    <w:rsid w:val="00F774DA"/>
    <w:rsid w:val="00F776F3"/>
    <w:rsid w:val="00F7770D"/>
    <w:rsid w:val="00F7779B"/>
    <w:rsid w:val="00F77EDD"/>
    <w:rsid w:val="00F8037D"/>
    <w:rsid w:val="00F80EAB"/>
    <w:rsid w:val="00F815B4"/>
    <w:rsid w:val="00F8183F"/>
    <w:rsid w:val="00F81AF9"/>
    <w:rsid w:val="00F82FAF"/>
    <w:rsid w:val="00F845E0"/>
    <w:rsid w:val="00F86B3C"/>
    <w:rsid w:val="00F86F18"/>
    <w:rsid w:val="00F91E04"/>
    <w:rsid w:val="00F92BB2"/>
    <w:rsid w:val="00F92D0A"/>
    <w:rsid w:val="00F93038"/>
    <w:rsid w:val="00F93107"/>
    <w:rsid w:val="00F93EB0"/>
    <w:rsid w:val="00F961B1"/>
    <w:rsid w:val="00F9731F"/>
    <w:rsid w:val="00FA13B7"/>
    <w:rsid w:val="00FA3177"/>
    <w:rsid w:val="00FA3C2A"/>
    <w:rsid w:val="00FA581C"/>
    <w:rsid w:val="00FA7DC2"/>
    <w:rsid w:val="00FB0412"/>
    <w:rsid w:val="00FB07DB"/>
    <w:rsid w:val="00FB1394"/>
    <w:rsid w:val="00FB1A63"/>
    <w:rsid w:val="00FB29B4"/>
    <w:rsid w:val="00FB4AD2"/>
    <w:rsid w:val="00FB4DC6"/>
    <w:rsid w:val="00FB4F39"/>
    <w:rsid w:val="00FB565D"/>
    <w:rsid w:val="00FB5AA5"/>
    <w:rsid w:val="00FB5B08"/>
    <w:rsid w:val="00FB61D3"/>
    <w:rsid w:val="00FB6829"/>
    <w:rsid w:val="00FB6AE4"/>
    <w:rsid w:val="00FC04F2"/>
    <w:rsid w:val="00FC0E9F"/>
    <w:rsid w:val="00FC19AA"/>
    <w:rsid w:val="00FC23F7"/>
    <w:rsid w:val="00FC24E5"/>
    <w:rsid w:val="00FC28E6"/>
    <w:rsid w:val="00FC2DCB"/>
    <w:rsid w:val="00FC2F15"/>
    <w:rsid w:val="00FC30BA"/>
    <w:rsid w:val="00FC353A"/>
    <w:rsid w:val="00FC35DA"/>
    <w:rsid w:val="00FC5169"/>
    <w:rsid w:val="00FC6366"/>
    <w:rsid w:val="00FC6981"/>
    <w:rsid w:val="00FC740B"/>
    <w:rsid w:val="00FC79A2"/>
    <w:rsid w:val="00FD01D9"/>
    <w:rsid w:val="00FD0D43"/>
    <w:rsid w:val="00FD2A08"/>
    <w:rsid w:val="00FD2B96"/>
    <w:rsid w:val="00FD3CEC"/>
    <w:rsid w:val="00FD5BB8"/>
    <w:rsid w:val="00FD6163"/>
    <w:rsid w:val="00FD7B9F"/>
    <w:rsid w:val="00FD7F6E"/>
    <w:rsid w:val="00FE0B21"/>
    <w:rsid w:val="00FE12F6"/>
    <w:rsid w:val="00FE310F"/>
    <w:rsid w:val="00FE3D32"/>
    <w:rsid w:val="00FE3E63"/>
    <w:rsid w:val="00FE46D5"/>
    <w:rsid w:val="00FE65C3"/>
    <w:rsid w:val="00FE6AA1"/>
    <w:rsid w:val="00FE7101"/>
    <w:rsid w:val="00FF05D0"/>
    <w:rsid w:val="00FF0697"/>
    <w:rsid w:val="00FF0D4C"/>
    <w:rsid w:val="00FF107D"/>
    <w:rsid w:val="00FF1A75"/>
    <w:rsid w:val="00FF23CF"/>
    <w:rsid w:val="00FF4315"/>
    <w:rsid w:val="00FF449A"/>
    <w:rsid w:val="00FF44EA"/>
    <w:rsid w:val="00FF468B"/>
    <w:rsid w:val="00FF52D5"/>
    <w:rsid w:val="00FF5768"/>
    <w:rsid w:val="00FF5EDE"/>
    <w:rsid w:val="00FF68A4"/>
    <w:rsid w:val="00FF6A74"/>
    <w:rsid w:val="00FF6B2C"/>
    <w:rsid w:val="00FF6C44"/>
    <w:rsid w:val="00FF6D30"/>
    <w:rsid w:val="013D5D89"/>
    <w:rsid w:val="01437FB2"/>
    <w:rsid w:val="0194271F"/>
    <w:rsid w:val="01FD7E4B"/>
    <w:rsid w:val="02746D61"/>
    <w:rsid w:val="02E3281A"/>
    <w:rsid w:val="03373831"/>
    <w:rsid w:val="039104B9"/>
    <w:rsid w:val="03A1532E"/>
    <w:rsid w:val="03D215C7"/>
    <w:rsid w:val="03DD1AEE"/>
    <w:rsid w:val="03E34B7E"/>
    <w:rsid w:val="03E71D2B"/>
    <w:rsid w:val="041956BA"/>
    <w:rsid w:val="042833D2"/>
    <w:rsid w:val="046608B7"/>
    <w:rsid w:val="04825795"/>
    <w:rsid w:val="05E50F82"/>
    <w:rsid w:val="05FE4F86"/>
    <w:rsid w:val="0608574F"/>
    <w:rsid w:val="061A7B87"/>
    <w:rsid w:val="0631563E"/>
    <w:rsid w:val="06B65CE0"/>
    <w:rsid w:val="06BA6158"/>
    <w:rsid w:val="074D2313"/>
    <w:rsid w:val="079833BC"/>
    <w:rsid w:val="07F114D7"/>
    <w:rsid w:val="081B4689"/>
    <w:rsid w:val="086E1AA3"/>
    <w:rsid w:val="087A428B"/>
    <w:rsid w:val="08996B89"/>
    <w:rsid w:val="08CA1A4E"/>
    <w:rsid w:val="08F1660C"/>
    <w:rsid w:val="09274C90"/>
    <w:rsid w:val="09426E25"/>
    <w:rsid w:val="09462C69"/>
    <w:rsid w:val="095E5158"/>
    <w:rsid w:val="098D1D39"/>
    <w:rsid w:val="098D7D07"/>
    <w:rsid w:val="09BE56FB"/>
    <w:rsid w:val="09EC7118"/>
    <w:rsid w:val="09FF47D3"/>
    <w:rsid w:val="0A0D392F"/>
    <w:rsid w:val="0A811D71"/>
    <w:rsid w:val="0A83272C"/>
    <w:rsid w:val="0AA10833"/>
    <w:rsid w:val="0AA96DC2"/>
    <w:rsid w:val="0AAB333B"/>
    <w:rsid w:val="0AB37A72"/>
    <w:rsid w:val="0B4E1E09"/>
    <w:rsid w:val="0B762709"/>
    <w:rsid w:val="0B8A6BB7"/>
    <w:rsid w:val="0C555716"/>
    <w:rsid w:val="0C5A006F"/>
    <w:rsid w:val="0C977B88"/>
    <w:rsid w:val="0CCA75A3"/>
    <w:rsid w:val="0CCD23C2"/>
    <w:rsid w:val="0DCF39D1"/>
    <w:rsid w:val="0DE1366E"/>
    <w:rsid w:val="0DE6619C"/>
    <w:rsid w:val="0E7A021D"/>
    <w:rsid w:val="0EB9036B"/>
    <w:rsid w:val="0EE40F40"/>
    <w:rsid w:val="0EF913B3"/>
    <w:rsid w:val="0F717E67"/>
    <w:rsid w:val="0FFD2754"/>
    <w:rsid w:val="106D5447"/>
    <w:rsid w:val="109A1385"/>
    <w:rsid w:val="10A038B9"/>
    <w:rsid w:val="10A544F9"/>
    <w:rsid w:val="10D270BD"/>
    <w:rsid w:val="111A7FB9"/>
    <w:rsid w:val="113E591B"/>
    <w:rsid w:val="115425E2"/>
    <w:rsid w:val="119C142F"/>
    <w:rsid w:val="11E51FBD"/>
    <w:rsid w:val="120D6CD8"/>
    <w:rsid w:val="12166C60"/>
    <w:rsid w:val="12564EC4"/>
    <w:rsid w:val="128D2C21"/>
    <w:rsid w:val="12F36122"/>
    <w:rsid w:val="132B41E8"/>
    <w:rsid w:val="132D6494"/>
    <w:rsid w:val="1330185A"/>
    <w:rsid w:val="134377C5"/>
    <w:rsid w:val="136820D5"/>
    <w:rsid w:val="13890A3D"/>
    <w:rsid w:val="13BE2CEB"/>
    <w:rsid w:val="13C479B3"/>
    <w:rsid w:val="14873AAB"/>
    <w:rsid w:val="14D7452C"/>
    <w:rsid w:val="14DD4C1E"/>
    <w:rsid w:val="1508101E"/>
    <w:rsid w:val="153E353A"/>
    <w:rsid w:val="155671DE"/>
    <w:rsid w:val="15876E0B"/>
    <w:rsid w:val="15F90ADA"/>
    <w:rsid w:val="164C24BC"/>
    <w:rsid w:val="165341C8"/>
    <w:rsid w:val="167A1613"/>
    <w:rsid w:val="168E510F"/>
    <w:rsid w:val="170356BC"/>
    <w:rsid w:val="170E25E2"/>
    <w:rsid w:val="172A29F9"/>
    <w:rsid w:val="17316B01"/>
    <w:rsid w:val="17420B59"/>
    <w:rsid w:val="17B459FA"/>
    <w:rsid w:val="17BF1255"/>
    <w:rsid w:val="17FEFD93"/>
    <w:rsid w:val="18922CBE"/>
    <w:rsid w:val="19176000"/>
    <w:rsid w:val="191B532F"/>
    <w:rsid w:val="193F02D1"/>
    <w:rsid w:val="19715580"/>
    <w:rsid w:val="19777530"/>
    <w:rsid w:val="19853BCD"/>
    <w:rsid w:val="19E95FC8"/>
    <w:rsid w:val="1A1E1F16"/>
    <w:rsid w:val="1A2E4E78"/>
    <w:rsid w:val="1A924953"/>
    <w:rsid w:val="1AAB623F"/>
    <w:rsid w:val="1AAB79ED"/>
    <w:rsid w:val="1AE729CF"/>
    <w:rsid w:val="1B0E4D79"/>
    <w:rsid w:val="1B143568"/>
    <w:rsid w:val="1B1679C2"/>
    <w:rsid w:val="1B1872DA"/>
    <w:rsid w:val="1B5F6892"/>
    <w:rsid w:val="1BBE3A19"/>
    <w:rsid w:val="1C092151"/>
    <w:rsid w:val="1C104ACB"/>
    <w:rsid w:val="1C1B29D2"/>
    <w:rsid w:val="1C1D2E81"/>
    <w:rsid w:val="1C2269A1"/>
    <w:rsid w:val="1C413223"/>
    <w:rsid w:val="1C630D89"/>
    <w:rsid w:val="1C860D4A"/>
    <w:rsid w:val="1CB3268E"/>
    <w:rsid w:val="1CDE236A"/>
    <w:rsid w:val="1DAB692E"/>
    <w:rsid w:val="1DF774CF"/>
    <w:rsid w:val="1E5F5592"/>
    <w:rsid w:val="1E991593"/>
    <w:rsid w:val="1F2C7201"/>
    <w:rsid w:val="1F316D64"/>
    <w:rsid w:val="1FAA11BB"/>
    <w:rsid w:val="1FD63F7E"/>
    <w:rsid w:val="1FDA3349"/>
    <w:rsid w:val="20087BFB"/>
    <w:rsid w:val="207635BA"/>
    <w:rsid w:val="20FA788E"/>
    <w:rsid w:val="2141610E"/>
    <w:rsid w:val="216C4516"/>
    <w:rsid w:val="21A326E4"/>
    <w:rsid w:val="21AA64EE"/>
    <w:rsid w:val="21B32F0F"/>
    <w:rsid w:val="21D0392E"/>
    <w:rsid w:val="21EB074B"/>
    <w:rsid w:val="2243558A"/>
    <w:rsid w:val="226F0499"/>
    <w:rsid w:val="22860640"/>
    <w:rsid w:val="22B42D42"/>
    <w:rsid w:val="234D2D77"/>
    <w:rsid w:val="234F7026"/>
    <w:rsid w:val="23B51EDC"/>
    <w:rsid w:val="23C45FD1"/>
    <w:rsid w:val="248A7377"/>
    <w:rsid w:val="24AF3A67"/>
    <w:rsid w:val="24E015F1"/>
    <w:rsid w:val="256728D8"/>
    <w:rsid w:val="25D55021"/>
    <w:rsid w:val="25DB4527"/>
    <w:rsid w:val="25EB34FB"/>
    <w:rsid w:val="25F73138"/>
    <w:rsid w:val="262670C1"/>
    <w:rsid w:val="26FEE27A"/>
    <w:rsid w:val="27753077"/>
    <w:rsid w:val="27EC7E96"/>
    <w:rsid w:val="27FD6546"/>
    <w:rsid w:val="280D678A"/>
    <w:rsid w:val="282C197F"/>
    <w:rsid w:val="28333331"/>
    <w:rsid w:val="2866255F"/>
    <w:rsid w:val="287110CC"/>
    <w:rsid w:val="289606CA"/>
    <w:rsid w:val="28DE044E"/>
    <w:rsid w:val="29372A42"/>
    <w:rsid w:val="293840AB"/>
    <w:rsid w:val="299F19B0"/>
    <w:rsid w:val="29A16278"/>
    <w:rsid w:val="2A84765B"/>
    <w:rsid w:val="2B5416F4"/>
    <w:rsid w:val="2B6B38EA"/>
    <w:rsid w:val="2BBB6677"/>
    <w:rsid w:val="2C383C25"/>
    <w:rsid w:val="2C727379"/>
    <w:rsid w:val="2CB50AC7"/>
    <w:rsid w:val="2CDD51B6"/>
    <w:rsid w:val="2CED5F31"/>
    <w:rsid w:val="2CEF0AA1"/>
    <w:rsid w:val="2CF8697D"/>
    <w:rsid w:val="2D6317C4"/>
    <w:rsid w:val="2D875169"/>
    <w:rsid w:val="2D8D3ECA"/>
    <w:rsid w:val="2D9740D6"/>
    <w:rsid w:val="2E986B9C"/>
    <w:rsid w:val="2EA72AC8"/>
    <w:rsid w:val="2F177F3A"/>
    <w:rsid w:val="2F252B0C"/>
    <w:rsid w:val="2F2E20FB"/>
    <w:rsid w:val="2FDE2767"/>
    <w:rsid w:val="2FE96D72"/>
    <w:rsid w:val="301D0F28"/>
    <w:rsid w:val="30366B4C"/>
    <w:rsid w:val="308D55FE"/>
    <w:rsid w:val="31027BB0"/>
    <w:rsid w:val="31146FCA"/>
    <w:rsid w:val="3171137F"/>
    <w:rsid w:val="319F5F79"/>
    <w:rsid w:val="31AF3F03"/>
    <w:rsid w:val="31E765FC"/>
    <w:rsid w:val="320D4B91"/>
    <w:rsid w:val="321C12E1"/>
    <w:rsid w:val="32590369"/>
    <w:rsid w:val="326D4F23"/>
    <w:rsid w:val="32AF0491"/>
    <w:rsid w:val="331166F4"/>
    <w:rsid w:val="332C32EF"/>
    <w:rsid w:val="340323FE"/>
    <w:rsid w:val="356647B2"/>
    <w:rsid w:val="36055A90"/>
    <w:rsid w:val="363E4EC2"/>
    <w:rsid w:val="36B8684C"/>
    <w:rsid w:val="36E55F46"/>
    <w:rsid w:val="378E5944"/>
    <w:rsid w:val="37F60FF8"/>
    <w:rsid w:val="389A29B3"/>
    <w:rsid w:val="389C67F3"/>
    <w:rsid w:val="39704576"/>
    <w:rsid w:val="3976458B"/>
    <w:rsid w:val="39A55BD2"/>
    <w:rsid w:val="3A21256E"/>
    <w:rsid w:val="3A394843"/>
    <w:rsid w:val="3A4C0D62"/>
    <w:rsid w:val="3A596B8B"/>
    <w:rsid w:val="3B010ECD"/>
    <w:rsid w:val="3B0F38EA"/>
    <w:rsid w:val="3B4069B8"/>
    <w:rsid w:val="3B507604"/>
    <w:rsid w:val="3B695038"/>
    <w:rsid w:val="3C397C5A"/>
    <w:rsid w:val="3C7D7D12"/>
    <w:rsid w:val="3C8D15E4"/>
    <w:rsid w:val="3CA8148F"/>
    <w:rsid w:val="3CBD74A9"/>
    <w:rsid w:val="3D46296B"/>
    <w:rsid w:val="3D4F6AA6"/>
    <w:rsid w:val="3D956C61"/>
    <w:rsid w:val="3DB5CF36"/>
    <w:rsid w:val="3DCE33B6"/>
    <w:rsid w:val="3E35535C"/>
    <w:rsid w:val="3EFF69BA"/>
    <w:rsid w:val="3F0A496E"/>
    <w:rsid w:val="3F216F60"/>
    <w:rsid w:val="3F2226C4"/>
    <w:rsid w:val="3F2614FC"/>
    <w:rsid w:val="3F5E1013"/>
    <w:rsid w:val="3F631B80"/>
    <w:rsid w:val="3F656D35"/>
    <w:rsid w:val="3F996A55"/>
    <w:rsid w:val="3F9BDA6A"/>
    <w:rsid w:val="3FC92B3F"/>
    <w:rsid w:val="40581ADB"/>
    <w:rsid w:val="40797D43"/>
    <w:rsid w:val="40AD380E"/>
    <w:rsid w:val="411421A9"/>
    <w:rsid w:val="414123E0"/>
    <w:rsid w:val="415B6DA7"/>
    <w:rsid w:val="41B85313"/>
    <w:rsid w:val="41FC0B3C"/>
    <w:rsid w:val="42500826"/>
    <w:rsid w:val="428D7D89"/>
    <w:rsid w:val="428E5B35"/>
    <w:rsid w:val="42907C8A"/>
    <w:rsid w:val="42AB625F"/>
    <w:rsid w:val="42B21CEB"/>
    <w:rsid w:val="431A7EC3"/>
    <w:rsid w:val="43A0221E"/>
    <w:rsid w:val="43A26033"/>
    <w:rsid w:val="43C77089"/>
    <w:rsid w:val="43DE68EC"/>
    <w:rsid w:val="444C02CA"/>
    <w:rsid w:val="446371FB"/>
    <w:rsid w:val="447A57C2"/>
    <w:rsid w:val="44AF1EB7"/>
    <w:rsid w:val="44CF5BAB"/>
    <w:rsid w:val="44D42D1C"/>
    <w:rsid w:val="44FE73B2"/>
    <w:rsid w:val="4504475A"/>
    <w:rsid w:val="45585203"/>
    <w:rsid w:val="455B3EA8"/>
    <w:rsid w:val="45733455"/>
    <w:rsid w:val="45AF3278"/>
    <w:rsid w:val="467B76E1"/>
    <w:rsid w:val="46A34641"/>
    <w:rsid w:val="46DA353E"/>
    <w:rsid w:val="477049E8"/>
    <w:rsid w:val="479C694B"/>
    <w:rsid w:val="47A6751B"/>
    <w:rsid w:val="47AA7B08"/>
    <w:rsid w:val="47BD2B98"/>
    <w:rsid w:val="47F13C56"/>
    <w:rsid w:val="48303787"/>
    <w:rsid w:val="48442155"/>
    <w:rsid w:val="484C07B1"/>
    <w:rsid w:val="48571A95"/>
    <w:rsid w:val="485C1317"/>
    <w:rsid w:val="48EB6C0B"/>
    <w:rsid w:val="48F755D2"/>
    <w:rsid w:val="48FB7543"/>
    <w:rsid w:val="49071E9B"/>
    <w:rsid w:val="491A7EBA"/>
    <w:rsid w:val="491D5CAA"/>
    <w:rsid w:val="49CF5040"/>
    <w:rsid w:val="4A15750F"/>
    <w:rsid w:val="4A8A69A7"/>
    <w:rsid w:val="4A8B1443"/>
    <w:rsid w:val="4AA63C59"/>
    <w:rsid w:val="4ABA2D78"/>
    <w:rsid w:val="4AD84D35"/>
    <w:rsid w:val="4C2F3AAE"/>
    <w:rsid w:val="4C317F52"/>
    <w:rsid w:val="4C7B5DA3"/>
    <w:rsid w:val="4C936542"/>
    <w:rsid w:val="4CB2197E"/>
    <w:rsid w:val="4CC35826"/>
    <w:rsid w:val="4D430511"/>
    <w:rsid w:val="4D89B6EF"/>
    <w:rsid w:val="4DF13948"/>
    <w:rsid w:val="4E677446"/>
    <w:rsid w:val="4EF63AE7"/>
    <w:rsid w:val="4F2F3ACD"/>
    <w:rsid w:val="4F8B2F27"/>
    <w:rsid w:val="4F9F3589"/>
    <w:rsid w:val="4FC768C0"/>
    <w:rsid w:val="50016325"/>
    <w:rsid w:val="50D14C73"/>
    <w:rsid w:val="50EE165B"/>
    <w:rsid w:val="51736DAF"/>
    <w:rsid w:val="51744727"/>
    <w:rsid w:val="51D34F78"/>
    <w:rsid w:val="51FE5249"/>
    <w:rsid w:val="524F0E9E"/>
    <w:rsid w:val="525C151F"/>
    <w:rsid w:val="52722FB0"/>
    <w:rsid w:val="527F4E92"/>
    <w:rsid w:val="52F446B6"/>
    <w:rsid w:val="52FE4514"/>
    <w:rsid w:val="53005132"/>
    <w:rsid w:val="53873836"/>
    <w:rsid w:val="538C5533"/>
    <w:rsid w:val="53906FC1"/>
    <w:rsid w:val="53C36DDA"/>
    <w:rsid w:val="54306A79"/>
    <w:rsid w:val="54727A6C"/>
    <w:rsid w:val="54E92405"/>
    <w:rsid w:val="552E1B53"/>
    <w:rsid w:val="5567558D"/>
    <w:rsid w:val="55AA03AC"/>
    <w:rsid w:val="55E733D3"/>
    <w:rsid w:val="562260D0"/>
    <w:rsid w:val="566C3845"/>
    <w:rsid w:val="57953278"/>
    <w:rsid w:val="587D0F2F"/>
    <w:rsid w:val="58917EB2"/>
    <w:rsid w:val="58E408DB"/>
    <w:rsid w:val="58F44C79"/>
    <w:rsid w:val="59054BC1"/>
    <w:rsid w:val="590962AA"/>
    <w:rsid w:val="5915441A"/>
    <w:rsid w:val="591868E2"/>
    <w:rsid w:val="5A385395"/>
    <w:rsid w:val="5A8C4D4C"/>
    <w:rsid w:val="5AD55AFF"/>
    <w:rsid w:val="5AF44809"/>
    <w:rsid w:val="5B37709F"/>
    <w:rsid w:val="5B451222"/>
    <w:rsid w:val="5B745BFD"/>
    <w:rsid w:val="5BAE1257"/>
    <w:rsid w:val="5BBA64AB"/>
    <w:rsid w:val="5BFE5D59"/>
    <w:rsid w:val="5C646732"/>
    <w:rsid w:val="5C853E59"/>
    <w:rsid w:val="5C933AC7"/>
    <w:rsid w:val="5C9C715D"/>
    <w:rsid w:val="5CFB0F9D"/>
    <w:rsid w:val="5D111AAA"/>
    <w:rsid w:val="5D7E6BD8"/>
    <w:rsid w:val="5D8A11AF"/>
    <w:rsid w:val="5D942C10"/>
    <w:rsid w:val="5DBD09B3"/>
    <w:rsid w:val="5DF23751"/>
    <w:rsid w:val="5E00087B"/>
    <w:rsid w:val="5E0E68E0"/>
    <w:rsid w:val="5E6C9B2B"/>
    <w:rsid w:val="5EBA4014"/>
    <w:rsid w:val="5EBB358D"/>
    <w:rsid w:val="5EC24B67"/>
    <w:rsid w:val="5ECB1D75"/>
    <w:rsid w:val="5ED52E57"/>
    <w:rsid w:val="5F062497"/>
    <w:rsid w:val="5F192810"/>
    <w:rsid w:val="5F1B314D"/>
    <w:rsid w:val="5F7F563A"/>
    <w:rsid w:val="5FE82301"/>
    <w:rsid w:val="60320032"/>
    <w:rsid w:val="60473DAE"/>
    <w:rsid w:val="60CC64DC"/>
    <w:rsid w:val="61010FE0"/>
    <w:rsid w:val="61500683"/>
    <w:rsid w:val="61583D4A"/>
    <w:rsid w:val="6192144C"/>
    <w:rsid w:val="6234455B"/>
    <w:rsid w:val="623E3959"/>
    <w:rsid w:val="625B3307"/>
    <w:rsid w:val="625F2F60"/>
    <w:rsid w:val="626B0982"/>
    <w:rsid w:val="626B762E"/>
    <w:rsid w:val="62A17620"/>
    <w:rsid w:val="62AE6C58"/>
    <w:rsid w:val="63466B30"/>
    <w:rsid w:val="63646754"/>
    <w:rsid w:val="63670F24"/>
    <w:rsid w:val="637E1A21"/>
    <w:rsid w:val="63C310C9"/>
    <w:rsid w:val="64734ACF"/>
    <w:rsid w:val="64990483"/>
    <w:rsid w:val="64C44AC4"/>
    <w:rsid w:val="650D260B"/>
    <w:rsid w:val="653A4580"/>
    <w:rsid w:val="654C57F6"/>
    <w:rsid w:val="659F5166"/>
    <w:rsid w:val="65A21939"/>
    <w:rsid w:val="65BF01A5"/>
    <w:rsid w:val="660877E3"/>
    <w:rsid w:val="66201C65"/>
    <w:rsid w:val="66406310"/>
    <w:rsid w:val="66EA5766"/>
    <w:rsid w:val="6791659B"/>
    <w:rsid w:val="67AF3F2F"/>
    <w:rsid w:val="67E337BD"/>
    <w:rsid w:val="67E81E27"/>
    <w:rsid w:val="689D391F"/>
    <w:rsid w:val="6939297D"/>
    <w:rsid w:val="693B759C"/>
    <w:rsid w:val="69AD5A03"/>
    <w:rsid w:val="69C31A5F"/>
    <w:rsid w:val="69EB50BB"/>
    <w:rsid w:val="6A16778C"/>
    <w:rsid w:val="6A1C3A48"/>
    <w:rsid w:val="6AA851BD"/>
    <w:rsid w:val="6AD66D28"/>
    <w:rsid w:val="6B0A20DA"/>
    <w:rsid w:val="6B5133F3"/>
    <w:rsid w:val="6C6C1886"/>
    <w:rsid w:val="6CA135D5"/>
    <w:rsid w:val="6CB81ED3"/>
    <w:rsid w:val="6D3F2B04"/>
    <w:rsid w:val="6D4A7DDB"/>
    <w:rsid w:val="6D65534A"/>
    <w:rsid w:val="6D7F6B43"/>
    <w:rsid w:val="6DBE6CB3"/>
    <w:rsid w:val="6E384485"/>
    <w:rsid w:val="6E3C5272"/>
    <w:rsid w:val="6E55366C"/>
    <w:rsid w:val="6E6E0BD2"/>
    <w:rsid w:val="6EF1A6EB"/>
    <w:rsid w:val="6F6D003C"/>
    <w:rsid w:val="6FD30D52"/>
    <w:rsid w:val="6FEDC681"/>
    <w:rsid w:val="6FFC6381"/>
    <w:rsid w:val="70083A32"/>
    <w:rsid w:val="71016C10"/>
    <w:rsid w:val="71393E32"/>
    <w:rsid w:val="71814108"/>
    <w:rsid w:val="71B04AF9"/>
    <w:rsid w:val="71E778A6"/>
    <w:rsid w:val="72C15F28"/>
    <w:rsid w:val="72D123AE"/>
    <w:rsid w:val="730075F6"/>
    <w:rsid w:val="73585701"/>
    <w:rsid w:val="740B2A1F"/>
    <w:rsid w:val="74424693"/>
    <w:rsid w:val="744267B6"/>
    <w:rsid w:val="74520F18"/>
    <w:rsid w:val="74C125D4"/>
    <w:rsid w:val="75315055"/>
    <w:rsid w:val="753B0164"/>
    <w:rsid w:val="757B1893"/>
    <w:rsid w:val="757E3D6F"/>
    <w:rsid w:val="75F12C3C"/>
    <w:rsid w:val="76072CC2"/>
    <w:rsid w:val="766A0CC5"/>
    <w:rsid w:val="769641FD"/>
    <w:rsid w:val="76F02427"/>
    <w:rsid w:val="77282B46"/>
    <w:rsid w:val="774702C9"/>
    <w:rsid w:val="77D80CCB"/>
    <w:rsid w:val="77F76E3A"/>
    <w:rsid w:val="789C0C13"/>
    <w:rsid w:val="78AA567D"/>
    <w:rsid w:val="78AF1315"/>
    <w:rsid w:val="78D232E2"/>
    <w:rsid w:val="78F5046B"/>
    <w:rsid w:val="78FC0266"/>
    <w:rsid w:val="7910039D"/>
    <w:rsid w:val="79465083"/>
    <w:rsid w:val="7961693A"/>
    <w:rsid w:val="79D51519"/>
    <w:rsid w:val="79F93DC4"/>
    <w:rsid w:val="7A3370D3"/>
    <w:rsid w:val="7A3F2ACC"/>
    <w:rsid w:val="7A4C256B"/>
    <w:rsid w:val="7A5E67FE"/>
    <w:rsid w:val="7A8244F0"/>
    <w:rsid w:val="7A980C7E"/>
    <w:rsid w:val="7AEE7679"/>
    <w:rsid w:val="7AFBCFCB"/>
    <w:rsid w:val="7B496534"/>
    <w:rsid w:val="7B88791A"/>
    <w:rsid w:val="7BD04C7A"/>
    <w:rsid w:val="7BDB332C"/>
    <w:rsid w:val="7C3F7814"/>
    <w:rsid w:val="7C5560CC"/>
    <w:rsid w:val="7C7A78AE"/>
    <w:rsid w:val="7CB36F60"/>
    <w:rsid w:val="7D165A88"/>
    <w:rsid w:val="7D2E1341"/>
    <w:rsid w:val="7DCE13E3"/>
    <w:rsid w:val="7DFE4187"/>
    <w:rsid w:val="7DFFDA19"/>
    <w:rsid w:val="7E24305B"/>
    <w:rsid w:val="7E3A4C98"/>
    <w:rsid w:val="7E5257C9"/>
    <w:rsid w:val="7E5C5697"/>
    <w:rsid w:val="7E946FE7"/>
    <w:rsid w:val="7EADCFD8"/>
    <w:rsid w:val="7EAEB1D4"/>
    <w:rsid w:val="7EB614DC"/>
    <w:rsid w:val="7EE859CB"/>
    <w:rsid w:val="7F0F0B56"/>
    <w:rsid w:val="7F5A3DB0"/>
    <w:rsid w:val="7F9F07FA"/>
    <w:rsid w:val="7FBFCE7E"/>
    <w:rsid w:val="7FC26189"/>
    <w:rsid w:val="7FDD655E"/>
    <w:rsid w:val="7FE9F5F0"/>
    <w:rsid w:val="7FEF05EE"/>
    <w:rsid w:val="7FFAF866"/>
    <w:rsid w:val="7FFECE5A"/>
    <w:rsid w:val="7FFF225A"/>
    <w:rsid w:val="AFDCB92A"/>
    <w:rsid w:val="AFE49593"/>
    <w:rsid w:val="B9F1813B"/>
    <w:rsid w:val="BEFFB0B8"/>
    <w:rsid w:val="BFBB8679"/>
    <w:rsid w:val="BFEA9127"/>
    <w:rsid w:val="BFFE20B2"/>
    <w:rsid w:val="CDEFE099"/>
    <w:rsid w:val="DEF9ED93"/>
    <w:rsid w:val="DFBBE7D2"/>
    <w:rsid w:val="DFFFE9B3"/>
    <w:rsid w:val="E6BB23C7"/>
    <w:rsid w:val="EF4D70C5"/>
    <w:rsid w:val="EFED7DCD"/>
    <w:rsid w:val="F9D07CC9"/>
    <w:rsid w:val="FB734851"/>
    <w:rsid w:val="FDFE5610"/>
    <w:rsid w:val="FEDE1B38"/>
    <w:rsid w:val="FEFA5A74"/>
    <w:rsid w:val="FF79750E"/>
    <w:rsid w:val="FFB667AC"/>
    <w:rsid w:val="FFC7DF45"/>
    <w:rsid w:val="FFDCADC2"/>
    <w:rsid w:val="FFF7EDEB"/>
    <w:rsid w:val="FFFA1678"/>
    <w:rsid w:val="FFFF93D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0" w:semiHidden="0" w:name="Normal Indent"/>
    <w:lsdException w:qFormat="1"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6"/>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38"/>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locked/>
    <w:uiPriority w:val="0"/>
    <w:pPr>
      <w:spacing w:beforeAutospacing="1" w:afterAutospacing="1"/>
      <w:jc w:val="left"/>
      <w:outlineLvl w:val="2"/>
    </w:pPr>
    <w:rPr>
      <w:rFonts w:hint="eastAsia" w:ascii="宋体" w:hAnsi="宋体"/>
      <w:b/>
      <w:kern w:val="0"/>
      <w:sz w:val="27"/>
      <w:szCs w:val="27"/>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0"/>
    <w:pPr>
      <w:ind w:firstLine="420" w:firstLineChars="200"/>
    </w:pPr>
    <w:rPr>
      <w:rFonts w:ascii="Times New Roman" w:hAnsi="Times New Roman"/>
      <w:szCs w:val="24"/>
    </w:rPr>
  </w:style>
  <w:style w:type="paragraph" w:styleId="6">
    <w:name w:val="Document Map"/>
    <w:basedOn w:val="1"/>
    <w:link w:val="48"/>
    <w:semiHidden/>
    <w:unhideWhenUsed/>
    <w:qFormat/>
    <w:uiPriority w:val="99"/>
    <w:rPr>
      <w:rFonts w:ascii="宋体"/>
      <w:sz w:val="18"/>
      <w:szCs w:val="18"/>
    </w:rPr>
  </w:style>
  <w:style w:type="paragraph" w:styleId="7">
    <w:name w:val="annotation text"/>
    <w:basedOn w:val="1"/>
    <w:link w:val="30"/>
    <w:semiHidden/>
    <w:qFormat/>
    <w:uiPriority w:val="99"/>
    <w:pPr>
      <w:jc w:val="left"/>
    </w:pPr>
  </w:style>
  <w:style w:type="paragraph" w:styleId="8">
    <w:name w:val="Body Text Indent"/>
    <w:basedOn w:val="1"/>
    <w:qFormat/>
    <w:uiPriority w:val="0"/>
    <w:pPr>
      <w:adjustRightInd w:val="0"/>
      <w:ind w:firstLine="490"/>
      <w:jc w:val="left"/>
    </w:pPr>
    <w:rPr>
      <w:rFonts w:hint="eastAsia" w:ascii="宋体" w:hAnsi="宋体"/>
      <w:sz w:val="24"/>
    </w:rPr>
  </w:style>
  <w:style w:type="paragraph" w:styleId="9">
    <w:name w:val="toc 3"/>
    <w:basedOn w:val="1"/>
    <w:next w:val="1"/>
    <w:unhideWhenUsed/>
    <w:qFormat/>
    <w:locked/>
    <w:uiPriority w:val="39"/>
    <w:pPr>
      <w:widowControl/>
      <w:spacing w:after="100" w:line="276" w:lineRule="auto"/>
      <w:ind w:left="440"/>
      <w:jc w:val="left"/>
    </w:pPr>
    <w:rPr>
      <w:rFonts w:asciiTheme="minorHAnsi" w:hAnsiTheme="minorHAnsi" w:eastAsiaTheme="minorEastAsia" w:cstheme="minorBidi"/>
      <w:kern w:val="0"/>
      <w:sz w:val="22"/>
    </w:rPr>
  </w:style>
  <w:style w:type="paragraph" w:styleId="10">
    <w:name w:val="Date"/>
    <w:basedOn w:val="1"/>
    <w:next w:val="1"/>
    <w:link w:val="39"/>
    <w:semiHidden/>
    <w:unhideWhenUsed/>
    <w:qFormat/>
    <w:uiPriority w:val="99"/>
    <w:pPr>
      <w:ind w:left="100" w:leftChars="2500"/>
    </w:pPr>
  </w:style>
  <w:style w:type="paragraph" w:styleId="11">
    <w:name w:val="Balloon Text"/>
    <w:basedOn w:val="1"/>
    <w:link w:val="29"/>
    <w:semiHidden/>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link w:val="27"/>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locked/>
    <w:uiPriority w:val="39"/>
    <w:pPr>
      <w:widowControl/>
      <w:tabs>
        <w:tab w:val="right" w:leader="dot" w:pos="8302"/>
      </w:tabs>
      <w:spacing w:after="100" w:line="276" w:lineRule="auto"/>
      <w:jc w:val="left"/>
    </w:pPr>
    <w:rPr>
      <w:rFonts w:ascii="黑体" w:hAnsi="黑体" w:eastAsia="黑体" w:cstheme="minorBidi"/>
      <w:b/>
      <w:kern w:val="0"/>
      <w:sz w:val="24"/>
      <w:szCs w:val="24"/>
    </w:rPr>
  </w:style>
  <w:style w:type="paragraph" w:styleId="15">
    <w:name w:val="footnote text"/>
    <w:basedOn w:val="1"/>
    <w:link w:val="40"/>
    <w:semiHidden/>
    <w:unhideWhenUsed/>
    <w:qFormat/>
    <w:uiPriority w:val="99"/>
    <w:pPr>
      <w:snapToGrid w:val="0"/>
      <w:jc w:val="left"/>
    </w:pPr>
    <w:rPr>
      <w:sz w:val="18"/>
      <w:szCs w:val="18"/>
    </w:rPr>
  </w:style>
  <w:style w:type="paragraph" w:styleId="16">
    <w:name w:val="toc 2"/>
    <w:basedOn w:val="1"/>
    <w:next w:val="1"/>
    <w:unhideWhenUsed/>
    <w:qFormat/>
    <w:locked/>
    <w:uiPriority w:val="39"/>
    <w:pPr>
      <w:widowControl/>
      <w:spacing w:after="100" w:line="276" w:lineRule="auto"/>
      <w:ind w:left="220"/>
      <w:jc w:val="left"/>
    </w:pPr>
    <w:rPr>
      <w:rFonts w:asciiTheme="minorHAnsi" w:hAnsiTheme="minorHAnsi" w:eastAsiaTheme="minorEastAsia" w:cstheme="minorBidi"/>
      <w:kern w:val="0"/>
      <w:sz w:val="22"/>
    </w:rPr>
  </w:style>
  <w:style w:type="paragraph" w:styleId="17">
    <w:name w:val="Normal (Web)"/>
    <w:basedOn w:val="1"/>
    <w:qFormat/>
    <w:uiPriority w:val="0"/>
    <w:pPr>
      <w:widowControl/>
      <w:spacing w:beforeAutospacing="1" w:afterAutospacing="1"/>
      <w:jc w:val="left"/>
    </w:pPr>
    <w:rPr>
      <w:rFonts w:ascii="宋体" w:hAnsi="宋体" w:cs="宋体"/>
      <w:kern w:val="0"/>
      <w:sz w:val="24"/>
      <w:szCs w:val="24"/>
    </w:rPr>
  </w:style>
  <w:style w:type="paragraph" w:styleId="18">
    <w:name w:val="annotation subject"/>
    <w:basedOn w:val="7"/>
    <w:next w:val="7"/>
    <w:link w:val="31"/>
    <w:semiHidden/>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locked/>
    <w:uiPriority w:val="22"/>
    <w:rPr>
      <w:b/>
      <w:bCs/>
    </w:rPr>
  </w:style>
  <w:style w:type="character" w:styleId="23">
    <w:name w:val="Hyperlink"/>
    <w:basedOn w:val="21"/>
    <w:qFormat/>
    <w:uiPriority w:val="99"/>
    <w:rPr>
      <w:rFonts w:cs="Times New Roman"/>
      <w:color w:val="0000FF"/>
      <w:u w:val="single"/>
    </w:rPr>
  </w:style>
  <w:style w:type="character" w:styleId="24">
    <w:name w:val="annotation reference"/>
    <w:basedOn w:val="21"/>
    <w:semiHidden/>
    <w:qFormat/>
    <w:uiPriority w:val="99"/>
    <w:rPr>
      <w:rFonts w:cs="Times New Roman"/>
      <w:sz w:val="21"/>
      <w:szCs w:val="21"/>
    </w:rPr>
  </w:style>
  <w:style w:type="character" w:styleId="25">
    <w:name w:val="footnote reference"/>
    <w:basedOn w:val="21"/>
    <w:semiHidden/>
    <w:unhideWhenUsed/>
    <w:qFormat/>
    <w:uiPriority w:val="99"/>
    <w:rPr>
      <w:vertAlign w:val="superscript"/>
    </w:rPr>
  </w:style>
  <w:style w:type="paragraph" w:customStyle="1" w:styleId="26">
    <w:name w:val="正文首行缩进 21"/>
    <w:basedOn w:val="8"/>
    <w:qFormat/>
    <w:uiPriority w:val="0"/>
    <w:pPr>
      <w:tabs>
        <w:tab w:val="left" w:pos="900"/>
      </w:tabs>
      <w:ind w:firstLine="420"/>
    </w:pPr>
    <w:rPr>
      <w:rFonts w:ascii="Times New Roman" w:hAnsi="Times New Roman"/>
    </w:rPr>
  </w:style>
  <w:style w:type="character" w:customStyle="1" w:styleId="27">
    <w:name w:val="页眉 Char"/>
    <w:basedOn w:val="21"/>
    <w:link w:val="13"/>
    <w:qFormat/>
    <w:locked/>
    <w:uiPriority w:val="99"/>
    <w:rPr>
      <w:rFonts w:cs="Times New Roman"/>
      <w:sz w:val="18"/>
      <w:szCs w:val="18"/>
    </w:rPr>
  </w:style>
  <w:style w:type="character" w:customStyle="1" w:styleId="28">
    <w:name w:val="页脚 Char"/>
    <w:basedOn w:val="21"/>
    <w:link w:val="12"/>
    <w:qFormat/>
    <w:locked/>
    <w:uiPriority w:val="99"/>
    <w:rPr>
      <w:rFonts w:cs="Times New Roman"/>
      <w:sz w:val="18"/>
      <w:szCs w:val="18"/>
    </w:rPr>
  </w:style>
  <w:style w:type="character" w:customStyle="1" w:styleId="29">
    <w:name w:val="批注框文本 Char"/>
    <w:basedOn w:val="21"/>
    <w:link w:val="11"/>
    <w:semiHidden/>
    <w:qFormat/>
    <w:locked/>
    <w:uiPriority w:val="99"/>
    <w:rPr>
      <w:rFonts w:cs="Times New Roman"/>
      <w:sz w:val="18"/>
      <w:szCs w:val="18"/>
    </w:rPr>
  </w:style>
  <w:style w:type="character" w:customStyle="1" w:styleId="30">
    <w:name w:val="批注文字 Char"/>
    <w:basedOn w:val="21"/>
    <w:link w:val="7"/>
    <w:semiHidden/>
    <w:qFormat/>
    <w:locked/>
    <w:uiPriority w:val="99"/>
    <w:rPr>
      <w:rFonts w:cs="Times New Roman"/>
    </w:rPr>
  </w:style>
  <w:style w:type="character" w:customStyle="1" w:styleId="31">
    <w:name w:val="批注主题 Char"/>
    <w:basedOn w:val="30"/>
    <w:link w:val="18"/>
    <w:semiHidden/>
    <w:qFormat/>
    <w:locked/>
    <w:uiPriority w:val="99"/>
    <w:rPr>
      <w:rFonts w:cs="Times New Roman"/>
      <w:b/>
      <w:bCs/>
    </w:rPr>
  </w:style>
  <w:style w:type="paragraph" w:styleId="32">
    <w:name w:val="List Paragraph"/>
    <w:basedOn w:val="1"/>
    <w:qFormat/>
    <w:uiPriority w:val="34"/>
    <w:pPr>
      <w:jc w:val="center"/>
    </w:pPr>
    <w:rPr>
      <w:rFonts w:ascii="Times New Roman" w:hAnsi="Times New Roman" w:eastAsia="仿宋"/>
      <w:color w:val="000000" w:themeColor="text1"/>
      <w:sz w:val="24"/>
      <w:szCs w:val="24"/>
      <w14:textFill>
        <w14:solidFill>
          <w14:schemeClr w14:val="tx1"/>
        </w14:solidFill>
      </w14:textFill>
    </w:rPr>
  </w:style>
  <w:style w:type="paragraph" w:customStyle="1" w:styleId="33">
    <w:name w:val="修订1"/>
    <w:hidden/>
    <w:semiHidden/>
    <w:qFormat/>
    <w:uiPriority w:val="99"/>
    <w:rPr>
      <w:rFonts w:ascii="Calibri" w:hAnsi="Calibri" w:eastAsia="宋体" w:cs="Times New Roman"/>
      <w:kern w:val="2"/>
      <w:sz w:val="21"/>
      <w:szCs w:val="22"/>
      <w:lang w:val="en-US" w:eastAsia="zh-CN" w:bidi="ar-SA"/>
    </w:rPr>
  </w:style>
  <w:style w:type="paragraph" w:customStyle="1" w:styleId="34">
    <w:name w:val="_Style 22"/>
    <w:basedOn w:val="1"/>
    <w:next w:val="32"/>
    <w:qFormat/>
    <w:uiPriority w:val="99"/>
    <w:pPr>
      <w:ind w:firstLine="420" w:firstLineChars="200"/>
    </w:pPr>
    <w:rPr>
      <w:szCs w:val="24"/>
    </w:rPr>
  </w:style>
  <w:style w:type="character" w:customStyle="1" w:styleId="35">
    <w:name w:val="cur"/>
    <w:qFormat/>
    <w:uiPriority w:val="99"/>
    <w:rPr>
      <w:b/>
    </w:rPr>
  </w:style>
  <w:style w:type="character" w:customStyle="1" w:styleId="36">
    <w:name w:val="标题 1 Char"/>
    <w:basedOn w:val="21"/>
    <w:link w:val="2"/>
    <w:qFormat/>
    <w:uiPriority w:val="0"/>
    <w:rPr>
      <w:b/>
      <w:bCs/>
      <w:kern w:val="44"/>
      <w:sz w:val="44"/>
      <w:szCs w:val="44"/>
    </w:rPr>
  </w:style>
  <w:style w:type="paragraph" w:customStyle="1" w:styleId="3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8">
    <w:name w:val="标题 2 Char"/>
    <w:basedOn w:val="21"/>
    <w:link w:val="3"/>
    <w:qFormat/>
    <w:uiPriority w:val="0"/>
    <w:rPr>
      <w:rFonts w:asciiTheme="majorHAnsi" w:hAnsiTheme="majorHAnsi" w:eastAsiaTheme="majorEastAsia" w:cstheme="majorBidi"/>
      <w:b/>
      <w:bCs/>
      <w:sz w:val="32"/>
      <w:szCs w:val="32"/>
    </w:rPr>
  </w:style>
  <w:style w:type="character" w:customStyle="1" w:styleId="39">
    <w:name w:val="日期 Char"/>
    <w:basedOn w:val="21"/>
    <w:link w:val="10"/>
    <w:semiHidden/>
    <w:qFormat/>
    <w:uiPriority w:val="99"/>
    <w:rPr>
      <w:rFonts w:ascii="Calibri" w:hAnsi="Calibri"/>
      <w:kern w:val="2"/>
      <w:sz w:val="21"/>
      <w:szCs w:val="22"/>
    </w:rPr>
  </w:style>
  <w:style w:type="character" w:customStyle="1" w:styleId="40">
    <w:name w:val="脚注文本 Char"/>
    <w:basedOn w:val="21"/>
    <w:link w:val="15"/>
    <w:semiHidden/>
    <w:qFormat/>
    <w:uiPriority w:val="99"/>
    <w:rPr>
      <w:rFonts w:ascii="Calibri" w:hAnsi="Calibri"/>
      <w:kern w:val="2"/>
      <w:sz w:val="18"/>
      <w:szCs w:val="18"/>
    </w:rPr>
  </w:style>
  <w:style w:type="paragraph" w:customStyle="1" w:styleId="41">
    <w:name w:val="修订2"/>
    <w:hidden/>
    <w:unhideWhenUsed/>
    <w:qFormat/>
    <w:uiPriority w:val="99"/>
    <w:rPr>
      <w:rFonts w:ascii="Calibri" w:hAnsi="Calibri" w:eastAsia="宋体" w:cs="Times New Roman"/>
      <w:kern w:val="2"/>
      <w:sz w:val="21"/>
      <w:szCs w:val="22"/>
      <w:lang w:val="en-US" w:eastAsia="zh-CN" w:bidi="ar-SA"/>
    </w:rPr>
  </w:style>
  <w:style w:type="paragraph" w:customStyle="1" w:styleId="42">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3">
    <w:name w:val="TOC 标题3"/>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4">
    <w:name w:val="修订3"/>
    <w:hidden/>
    <w:unhideWhenUsed/>
    <w:qFormat/>
    <w:uiPriority w:val="99"/>
    <w:rPr>
      <w:rFonts w:ascii="Calibri" w:hAnsi="Calibri" w:eastAsia="宋体" w:cs="Times New Roman"/>
      <w:kern w:val="2"/>
      <w:sz w:val="21"/>
      <w:szCs w:val="22"/>
      <w:lang w:val="en-US" w:eastAsia="zh-CN" w:bidi="ar-SA"/>
    </w:rPr>
  </w:style>
  <w:style w:type="paragraph" w:customStyle="1" w:styleId="45">
    <w:name w:val="修订4"/>
    <w:hidden/>
    <w:unhideWhenUsed/>
    <w:qFormat/>
    <w:uiPriority w:val="99"/>
    <w:rPr>
      <w:rFonts w:ascii="Calibri" w:hAnsi="Calibri" w:eastAsia="宋体" w:cs="Times New Roman"/>
      <w:kern w:val="2"/>
      <w:sz w:val="21"/>
      <w:szCs w:val="22"/>
      <w:lang w:val="en-US" w:eastAsia="zh-CN" w:bidi="ar-SA"/>
    </w:rPr>
  </w:style>
  <w:style w:type="paragraph" w:customStyle="1" w:styleId="46">
    <w:name w:val="修订5"/>
    <w:hidden/>
    <w:unhideWhenUsed/>
    <w:qFormat/>
    <w:uiPriority w:val="99"/>
    <w:rPr>
      <w:rFonts w:ascii="Calibri" w:hAnsi="Calibri" w:eastAsia="宋体" w:cs="Times New Roman"/>
      <w:kern w:val="2"/>
      <w:sz w:val="21"/>
      <w:szCs w:val="22"/>
      <w:lang w:val="en-US" w:eastAsia="zh-CN" w:bidi="ar-SA"/>
    </w:rPr>
  </w:style>
  <w:style w:type="paragraph" w:customStyle="1" w:styleId="47">
    <w:name w:val="修订6"/>
    <w:hidden/>
    <w:unhideWhenUsed/>
    <w:qFormat/>
    <w:uiPriority w:val="99"/>
    <w:rPr>
      <w:rFonts w:ascii="Calibri" w:hAnsi="Calibri" w:eastAsia="宋体" w:cs="Times New Roman"/>
      <w:kern w:val="2"/>
      <w:sz w:val="21"/>
      <w:szCs w:val="22"/>
      <w:lang w:val="en-US" w:eastAsia="zh-CN" w:bidi="ar-SA"/>
    </w:rPr>
  </w:style>
  <w:style w:type="character" w:customStyle="1" w:styleId="48">
    <w:name w:val="文档结构图 Char"/>
    <w:basedOn w:val="21"/>
    <w:link w:val="6"/>
    <w:semiHidden/>
    <w:qFormat/>
    <w:uiPriority w:val="99"/>
    <w:rPr>
      <w:rFonts w:ascii="宋体" w:hAnsi="Calibri"/>
      <w:kern w:val="2"/>
      <w:sz w:val="18"/>
      <w:szCs w:val="18"/>
    </w:rPr>
  </w:style>
  <w:style w:type="paragraph" w:customStyle="1" w:styleId="49">
    <w:name w:val="修订7"/>
    <w:hidden/>
    <w:unhideWhenUsed/>
    <w:qFormat/>
    <w:uiPriority w:val="99"/>
    <w:rPr>
      <w:rFonts w:ascii="Calibri" w:hAnsi="Calibri" w:eastAsia="宋体" w:cs="Times New Roman"/>
      <w:kern w:val="2"/>
      <w:sz w:val="21"/>
      <w:szCs w:val="22"/>
      <w:lang w:val="en-US" w:eastAsia="zh-CN" w:bidi="ar-SA"/>
    </w:rPr>
  </w:style>
  <w:style w:type="paragraph" w:customStyle="1" w:styleId="50">
    <w:name w:val="修订8"/>
    <w:hidden/>
    <w:semiHidden/>
    <w:qFormat/>
    <w:uiPriority w:val="99"/>
    <w:rPr>
      <w:rFonts w:ascii="Calibri" w:hAnsi="Calibri" w:eastAsia="宋体" w:cs="Times New Roman"/>
      <w:kern w:val="2"/>
      <w:sz w:val="21"/>
      <w:szCs w:val="22"/>
      <w:lang w:val="en-US" w:eastAsia="zh-CN" w:bidi="ar-SA"/>
    </w:rPr>
  </w:style>
  <w:style w:type="paragraph" w:customStyle="1" w:styleId="51">
    <w:name w:val="修订9"/>
    <w:hidden/>
    <w:semiHidden/>
    <w:qFormat/>
    <w:uiPriority w:val="99"/>
    <w:rPr>
      <w:rFonts w:ascii="Calibri" w:hAnsi="Calibri" w:eastAsia="宋体" w:cs="Times New Roman"/>
      <w:kern w:val="2"/>
      <w:sz w:val="21"/>
      <w:szCs w:val="22"/>
      <w:lang w:val="en-US" w:eastAsia="zh-CN" w:bidi="ar-SA"/>
    </w:rPr>
  </w:style>
  <w:style w:type="paragraph" w:customStyle="1" w:styleId="52">
    <w:name w:val="TOC 标题4"/>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53">
    <w:name w:val="修订10"/>
    <w:hidden/>
    <w:semiHidden/>
    <w:qFormat/>
    <w:uiPriority w:val="99"/>
    <w:rPr>
      <w:rFonts w:ascii="Calibri" w:hAnsi="Calibri" w:eastAsia="宋体" w:cs="Times New Roman"/>
      <w:kern w:val="2"/>
      <w:sz w:val="21"/>
      <w:szCs w:val="22"/>
      <w:lang w:val="en-US" w:eastAsia="zh-CN" w:bidi="ar-SA"/>
    </w:rPr>
  </w:style>
  <w:style w:type="paragraph" w:customStyle="1" w:styleId="54">
    <w:name w:val="修订11"/>
    <w:hidden/>
    <w:unhideWhenUsed/>
    <w:qFormat/>
    <w:uiPriority w:val="99"/>
    <w:rPr>
      <w:rFonts w:ascii="Calibri" w:hAnsi="Calibri" w:eastAsia="宋体" w:cs="Times New Roman"/>
      <w:kern w:val="2"/>
      <w:sz w:val="21"/>
      <w:szCs w:val="22"/>
      <w:lang w:val="en-US" w:eastAsia="zh-CN" w:bidi="ar-SA"/>
    </w:rPr>
  </w:style>
  <w:style w:type="paragraph" w:customStyle="1" w:styleId="55">
    <w:name w:val="修订12"/>
    <w:hidden/>
    <w:unhideWhenUsed/>
    <w:qFormat/>
    <w:uiPriority w:val="99"/>
    <w:rPr>
      <w:rFonts w:ascii="Calibri" w:hAnsi="Calibri" w:eastAsia="宋体" w:cs="Times New Roman"/>
      <w:kern w:val="2"/>
      <w:sz w:val="21"/>
      <w:szCs w:val="22"/>
      <w:lang w:val="en-US" w:eastAsia="zh-CN" w:bidi="ar-SA"/>
    </w:rPr>
  </w:style>
  <w:style w:type="paragraph" w:customStyle="1" w:styleId="56">
    <w:name w:val="TOC 标题5"/>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57">
    <w:name w:val="修订13"/>
    <w:hidden/>
    <w:unhideWhenUsed/>
    <w:qFormat/>
    <w:uiPriority w:val="99"/>
    <w:rPr>
      <w:rFonts w:ascii="Calibri" w:hAnsi="Calibri" w:eastAsia="宋体" w:cs="Times New Roman"/>
      <w:kern w:val="2"/>
      <w:sz w:val="21"/>
      <w:szCs w:val="22"/>
      <w:lang w:val="en-US" w:eastAsia="zh-CN" w:bidi="ar-SA"/>
    </w:rPr>
  </w:style>
  <w:style w:type="paragraph" w:customStyle="1" w:styleId="58">
    <w:name w:val="修订14"/>
    <w:hidden/>
    <w:unhideWhenUsed/>
    <w:qFormat/>
    <w:uiPriority w:val="99"/>
    <w:rPr>
      <w:rFonts w:ascii="Calibri" w:hAnsi="Calibri" w:eastAsia="宋体" w:cs="Times New Roman"/>
      <w:kern w:val="2"/>
      <w:sz w:val="21"/>
      <w:szCs w:val="22"/>
      <w:lang w:val="en-US" w:eastAsia="zh-CN" w:bidi="ar-SA"/>
    </w:rPr>
  </w:style>
  <w:style w:type="paragraph" w:customStyle="1" w:styleId="59">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3.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footer" Target="footer2.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footer" Target="footer1.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jpe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52</Pages>
  <Words>1915</Words>
  <Characters>2130</Characters>
  <Lines>199</Lines>
  <Paragraphs>56</Paragraphs>
  <TotalTime>130</TotalTime>
  <ScaleCrop>false</ScaleCrop>
  <LinksUpToDate>false</LinksUpToDate>
  <CharactersWithSpaces>2247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2025-04-03T00:37:00Z</dcterms:created>
  <dc:creator>Liaoqw</dc:creator>
  <cp:lastModifiedBy>admin</cp:lastModifiedBy>
  <cp:lastPrinted>2025-03-15T16:21:00Z</cp:lastPrinted>
  <dcterms:modified xsi:type="dcterms:W3CDTF">2025-04-21T08:09:38Z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A7D1F0C9C76B4D77B359BF7A16C7DCDB_13</vt:lpwstr>
  </property>
  <property fmtid="{D5CDD505-2E9C-101B-9397-08002B2CF9AE}" pid="4" name="KSOTemplateDocerSaveRecord">
    <vt:lpwstr>eyJoZGlkIjoiZTJhNGJhYzViNjM0YzA0Nzg2NWEzNzM4ZWFjOTMwZWYifQ==</vt:lpwstr>
  </property>
</Properties>
</file>