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325956">
      <w:pPr>
        <w:spacing w:line="560" w:lineRule="exact"/>
        <w:jc w:val="left"/>
        <w:rPr>
          <w:rFonts w:ascii="黑体" w:hAnsi="黑体" w:eastAsia="黑体" w:cs="方正小标宋简体"/>
          <w:sz w:val="32"/>
          <w:szCs w:val="32"/>
        </w:rPr>
      </w:pPr>
      <w:r>
        <w:rPr>
          <w:rFonts w:hint="eastAsia" w:ascii="黑体" w:hAnsi="黑体" w:eastAsia="黑体" w:cs="方正小标宋简体"/>
          <w:sz w:val="32"/>
          <w:szCs w:val="32"/>
        </w:rPr>
        <w:t>附件：</w:t>
      </w:r>
    </w:p>
    <w:p w14:paraId="78E8D449">
      <w:pPr>
        <w:spacing w:line="560" w:lineRule="exact"/>
        <w:jc w:val="both"/>
        <w:rPr>
          <w:rFonts w:ascii="方正小标宋简体" w:hAnsi="方正小标宋简体" w:eastAsia="方正小标宋简体" w:cs="方正小标宋简体"/>
          <w:sz w:val="44"/>
          <w:szCs w:val="44"/>
        </w:rPr>
      </w:pPr>
    </w:p>
    <w:p w14:paraId="0E63D131">
      <w:pPr>
        <w:spacing w:after="156" w:afterLines="50"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w:t>
      </w:r>
      <w:r>
        <w:rPr>
          <w:rFonts w:hint="eastAsia" w:ascii="方正小标宋简体" w:hAnsi="方正小标宋简体" w:eastAsia="方正小标宋简体" w:cs="方正小标宋简体"/>
          <w:sz w:val="44"/>
          <w:szCs w:val="44"/>
        </w:rPr>
        <w:t>关于进一步优化房屋建筑工程分阶段办理施工许可证和施工图审查的通知</w:t>
      </w:r>
      <w:r>
        <w:rPr>
          <w:rFonts w:hint="eastAsia" w:ascii="方正小标宋简体" w:hAnsi="方正小标宋简体" w:eastAsia="方正小标宋简体" w:cs="方正小标宋简体"/>
          <w:sz w:val="44"/>
          <w:szCs w:val="44"/>
          <w:lang w:val="en-US" w:eastAsia="zh-CN"/>
        </w:rPr>
        <w:t>（征求意见稿）》</w:t>
      </w:r>
      <w:r>
        <w:rPr>
          <w:rFonts w:hint="eastAsia" w:ascii="方正小标宋简体" w:hAnsi="方正小标宋简体" w:eastAsia="方正小标宋简体" w:cs="方正小标宋简体"/>
          <w:sz w:val="44"/>
          <w:szCs w:val="44"/>
        </w:rPr>
        <w:t>公众意见采纳情况表</w:t>
      </w:r>
    </w:p>
    <w:tbl>
      <w:tblPr>
        <w:tblStyle w:val="3"/>
        <w:tblW w:w="14596" w:type="dxa"/>
        <w:tblInd w:w="0" w:type="dxa"/>
        <w:tblLayout w:type="fixed"/>
        <w:tblCellMar>
          <w:top w:w="0" w:type="dxa"/>
          <w:left w:w="108" w:type="dxa"/>
          <w:bottom w:w="0" w:type="dxa"/>
          <w:right w:w="108" w:type="dxa"/>
        </w:tblCellMar>
      </w:tblPr>
      <w:tblGrid>
        <w:gridCol w:w="704"/>
        <w:gridCol w:w="2552"/>
        <w:gridCol w:w="7512"/>
        <w:gridCol w:w="3828"/>
      </w:tblGrid>
      <w:tr w14:paraId="08B3743A">
        <w:tblPrEx>
          <w:tblCellMar>
            <w:top w:w="0" w:type="dxa"/>
            <w:left w:w="108" w:type="dxa"/>
            <w:bottom w:w="0" w:type="dxa"/>
            <w:right w:w="108" w:type="dxa"/>
          </w:tblCellMar>
        </w:tblPrEx>
        <w:trPr>
          <w:trHeight w:val="713"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B23D7">
            <w:pPr>
              <w:widowControl/>
              <w:jc w:val="center"/>
              <w:textAlignment w:val="center"/>
              <w:rPr>
                <w:rFonts w:ascii="仿宋_GB2312" w:hAnsi="仿宋_GB2312" w:eastAsia="仿宋_GB2312" w:cs="仿宋_GB2312"/>
                <w:b/>
                <w:color w:val="000000"/>
                <w:sz w:val="24"/>
                <w:highlight w:val="none"/>
              </w:rPr>
            </w:pPr>
            <w:r>
              <w:rPr>
                <w:rFonts w:hint="eastAsia" w:ascii="仿宋_GB2312" w:hAnsi="仿宋_GB2312" w:eastAsia="仿宋_GB2312" w:cs="仿宋_GB2312"/>
                <w:b/>
                <w:color w:val="000000"/>
                <w:kern w:val="0"/>
                <w:sz w:val="24"/>
                <w:highlight w:val="none"/>
                <w:lang w:bidi="ar"/>
              </w:rPr>
              <w:t>序号</w:t>
            </w:r>
          </w:p>
        </w:tc>
        <w:tc>
          <w:tcPr>
            <w:tcW w:w="2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4273B">
            <w:pPr>
              <w:widowControl/>
              <w:jc w:val="center"/>
              <w:textAlignment w:val="center"/>
              <w:rPr>
                <w:rFonts w:ascii="仿宋_GB2312" w:hAnsi="仿宋_GB2312" w:eastAsia="仿宋_GB2312" w:cs="仿宋_GB2312"/>
                <w:b/>
                <w:color w:val="000000"/>
                <w:sz w:val="24"/>
                <w:highlight w:val="none"/>
              </w:rPr>
            </w:pPr>
            <w:r>
              <w:rPr>
                <w:rFonts w:hint="eastAsia" w:ascii="仿宋_GB2312" w:hAnsi="仿宋_GB2312" w:eastAsia="仿宋_GB2312" w:cs="仿宋_GB2312"/>
                <w:b/>
                <w:color w:val="000000"/>
                <w:sz w:val="24"/>
                <w:highlight w:val="none"/>
              </w:rPr>
              <w:t>反馈人/反馈单位</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3C4E1">
            <w:pPr>
              <w:widowControl/>
              <w:jc w:val="center"/>
              <w:textAlignment w:val="center"/>
              <w:rPr>
                <w:rFonts w:ascii="仿宋_GB2312" w:hAnsi="仿宋_GB2312" w:eastAsia="仿宋_GB2312" w:cs="仿宋_GB2312"/>
                <w:b/>
                <w:color w:val="000000"/>
                <w:sz w:val="24"/>
                <w:highlight w:val="none"/>
              </w:rPr>
            </w:pPr>
            <w:r>
              <w:rPr>
                <w:rFonts w:hint="eastAsia" w:ascii="仿宋_GB2312" w:hAnsi="仿宋_GB2312" w:eastAsia="仿宋_GB2312" w:cs="仿宋_GB2312"/>
                <w:b/>
                <w:color w:val="000000"/>
                <w:kern w:val="0"/>
                <w:sz w:val="24"/>
                <w:highlight w:val="none"/>
                <w:lang w:bidi="ar"/>
              </w:rPr>
              <w:t>反馈意见</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E445A">
            <w:pPr>
              <w:widowControl/>
              <w:jc w:val="center"/>
              <w:textAlignment w:val="center"/>
              <w:rPr>
                <w:rFonts w:ascii="仿宋_GB2312" w:hAnsi="仿宋_GB2312" w:eastAsia="仿宋_GB2312" w:cs="仿宋_GB2312"/>
                <w:b/>
                <w:color w:val="000000"/>
                <w:kern w:val="0"/>
                <w:sz w:val="32"/>
                <w:szCs w:val="32"/>
                <w:highlight w:val="none"/>
                <w:lang w:bidi="ar"/>
              </w:rPr>
            </w:pPr>
            <w:r>
              <w:rPr>
                <w:rFonts w:hint="eastAsia" w:ascii="仿宋_GB2312" w:hAnsi="仿宋_GB2312" w:eastAsia="仿宋_GB2312" w:cs="仿宋_GB2312"/>
                <w:b/>
                <w:color w:val="000000"/>
                <w:kern w:val="0"/>
                <w:sz w:val="24"/>
                <w:highlight w:val="none"/>
                <w:lang w:bidi="ar"/>
              </w:rPr>
              <w:t>处理情况</w:t>
            </w:r>
          </w:p>
        </w:tc>
      </w:tr>
      <w:tr w14:paraId="5639E5DB">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9001B">
            <w:pPr>
              <w:widowControl/>
              <w:jc w:val="center"/>
              <w:textAlignment w:val="center"/>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kern w:val="0"/>
                <w:sz w:val="24"/>
                <w:highlight w:val="none"/>
                <w:lang w:bidi="ar"/>
              </w:rPr>
              <w:t>1</w:t>
            </w:r>
          </w:p>
        </w:tc>
        <w:tc>
          <w:tcPr>
            <w:tcW w:w="2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1CC99">
            <w:pPr>
              <w:spacing w:line="240" w:lineRule="atLeast"/>
              <w:jc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12345</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F20A1">
            <w:pPr>
              <w:spacing w:line="240" w:lineRule="atLeast"/>
              <w:jc w:val="left"/>
              <w:rPr>
                <w:rFonts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color w:val="000000"/>
                <w:kern w:val="0"/>
                <w:sz w:val="24"/>
                <w:highlight w:val="none"/>
                <w:lang w:bidi="ar"/>
              </w:rPr>
              <w:t>取消施工许可证。</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88837">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eastAsia="zh-CN" w:bidi="ar"/>
              </w:rPr>
              <w:t>不</w:t>
            </w:r>
            <w:r>
              <w:rPr>
                <w:rFonts w:hint="eastAsia" w:ascii="仿宋_GB2312" w:hAnsi="仿宋_GB2312" w:eastAsia="仿宋_GB2312" w:cs="仿宋_GB2312"/>
                <w:color w:val="000000"/>
                <w:kern w:val="0"/>
                <w:sz w:val="24"/>
                <w:highlight w:val="none"/>
                <w:lang w:bidi="ar"/>
              </w:rPr>
              <w:t>采纳。施工许可</w:t>
            </w:r>
            <w:r>
              <w:rPr>
                <w:rFonts w:hint="eastAsia" w:ascii="仿宋_GB2312" w:hAnsi="仿宋_GB2312" w:eastAsia="仿宋_GB2312" w:cs="仿宋_GB2312"/>
                <w:color w:val="000000"/>
                <w:kern w:val="0"/>
                <w:sz w:val="24"/>
                <w:highlight w:val="none"/>
                <w:lang w:eastAsia="zh-CN" w:bidi="ar"/>
              </w:rPr>
              <w:t>为《建筑法》规定。</w:t>
            </w:r>
          </w:p>
        </w:tc>
      </w:tr>
      <w:tr w14:paraId="23F080A0">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FE952">
            <w:pPr>
              <w:widowControl/>
              <w:jc w:val="center"/>
              <w:textAlignment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2</w:t>
            </w:r>
          </w:p>
        </w:tc>
        <w:tc>
          <w:tcPr>
            <w:tcW w:w="2552" w:type="dxa"/>
            <w:vMerge w:val="restart"/>
            <w:tcBorders>
              <w:top w:val="single" w:color="000000" w:sz="4" w:space="0"/>
              <w:left w:val="single" w:color="000000" w:sz="4" w:space="0"/>
              <w:right w:val="single" w:color="000000" w:sz="4" w:space="0"/>
            </w:tcBorders>
            <w:shd w:val="clear" w:color="auto" w:fill="auto"/>
            <w:vAlign w:val="center"/>
          </w:tcPr>
          <w:p w14:paraId="2CA65C74">
            <w:pPr>
              <w:spacing w:line="240" w:lineRule="atLeast"/>
              <w:jc w:val="center"/>
              <w:rPr>
                <w:rFonts w:hint="default" w:ascii="仿宋_GB2312" w:hAnsi="仿宋_GB2312" w:eastAsia="仿宋_GB2312" w:cs="仿宋_GB2312"/>
                <w:color w:val="000000"/>
                <w:kern w:val="0"/>
                <w:sz w:val="24"/>
                <w:highlight w:val="none"/>
                <w:lang w:val="en-US" w:bidi="ar"/>
              </w:rPr>
            </w:pPr>
            <w:r>
              <w:rPr>
                <w:rFonts w:hint="eastAsia" w:ascii="仿宋_GB2312" w:hAnsi="仿宋_GB2312" w:eastAsia="仿宋_GB2312" w:cs="仿宋_GB2312"/>
                <w:i w:val="0"/>
                <w:color w:val="000000"/>
                <w:kern w:val="0"/>
                <w:sz w:val="24"/>
                <w:szCs w:val="24"/>
                <w:highlight w:val="none"/>
                <w:u w:val="none"/>
                <w:lang w:val="en-US" w:eastAsia="zh-CN" w:bidi="ar"/>
              </w:rPr>
              <w:t>130****7835</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5E4C7">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color w:val="000000"/>
                <w:kern w:val="0"/>
                <w:sz w:val="24"/>
                <w:highlight w:val="none"/>
                <w:lang w:eastAsia="zh-CN" w:bidi="ar"/>
              </w:rPr>
              <w:t>关于第四部分第（</w:t>
            </w:r>
            <w:r>
              <w:rPr>
                <w:rFonts w:hint="eastAsia" w:ascii="仿宋_GB2312" w:hAnsi="仿宋_GB2312" w:eastAsia="仿宋_GB2312" w:cs="仿宋_GB2312"/>
                <w:color w:val="000000"/>
                <w:kern w:val="0"/>
                <w:sz w:val="24"/>
                <w:highlight w:val="none"/>
                <w:lang w:val="en-US" w:eastAsia="zh-CN" w:bidi="ar"/>
              </w:rPr>
              <w:t>二</w:t>
            </w:r>
            <w:r>
              <w:rPr>
                <w:rFonts w:hint="eastAsia" w:ascii="仿宋_GB2312" w:hAnsi="仿宋_GB2312" w:eastAsia="仿宋_GB2312" w:cs="仿宋_GB2312"/>
                <w:color w:val="000000"/>
                <w:kern w:val="0"/>
                <w:sz w:val="24"/>
                <w:highlight w:val="none"/>
                <w:lang w:eastAsia="zh-CN" w:bidi="ar"/>
              </w:rPr>
              <w:t>）条第</w:t>
            </w:r>
            <w:r>
              <w:rPr>
                <w:rFonts w:hint="eastAsia" w:ascii="仿宋_GB2312" w:hAnsi="仿宋_GB2312" w:eastAsia="仿宋_GB2312" w:cs="仿宋_GB2312"/>
                <w:color w:val="000000"/>
                <w:kern w:val="0"/>
                <w:sz w:val="24"/>
                <w:highlight w:val="none"/>
                <w:lang w:val="en-US" w:eastAsia="zh-CN" w:bidi="ar"/>
              </w:rPr>
              <w:t>2点</w:t>
            </w:r>
            <w:r>
              <w:rPr>
                <w:rFonts w:hint="eastAsia" w:ascii="仿宋_GB2312" w:hAnsi="仿宋_GB2312" w:eastAsia="仿宋_GB2312" w:cs="仿宋_GB2312"/>
                <w:color w:val="000000"/>
                <w:kern w:val="0"/>
                <w:sz w:val="24"/>
                <w:highlight w:val="none"/>
                <w:lang w:eastAsia="zh-CN" w:bidi="ar"/>
              </w:rPr>
              <w:t>，建议可承诺在3个月内补齐施工图审查合格书即可办理告知承诺制工程证对应的施工证。</w:t>
            </w:r>
          </w:p>
          <w:p w14:paraId="1E86C7DF">
            <w:pPr>
              <w:spacing w:line="240" w:lineRule="atLeast"/>
              <w:jc w:val="left"/>
              <w:rPr>
                <w:rFonts w:hint="eastAsia"/>
                <w:highlight w:val="none"/>
                <w:lang w:eastAsia="zh-CN"/>
              </w:rPr>
            </w:pPr>
            <w:r>
              <w:rPr>
                <w:rFonts w:hint="eastAsia" w:ascii="仿宋_GB2312" w:hAnsi="仿宋_GB2312" w:eastAsia="仿宋_GB2312" w:cs="仿宋_GB2312"/>
                <w:b/>
                <w:bCs/>
                <w:color w:val="000000"/>
                <w:kern w:val="0"/>
                <w:sz w:val="24"/>
                <w:highlight w:val="none"/>
                <w:lang w:eastAsia="zh-CN" w:bidi="ar"/>
              </w:rPr>
              <w:t>理由：</w:t>
            </w:r>
            <w:r>
              <w:rPr>
                <w:rFonts w:hint="eastAsia" w:ascii="仿宋_GB2312" w:hAnsi="仿宋_GB2312" w:eastAsia="仿宋_GB2312" w:cs="仿宋_GB2312"/>
                <w:color w:val="000000"/>
                <w:kern w:val="0"/>
                <w:sz w:val="24"/>
                <w:highlight w:val="none"/>
                <w:lang w:eastAsia="zh-CN" w:bidi="ar"/>
              </w:rPr>
              <w:t>既然已经可以通过告知承诺制取得《建设工程规划许可证》的,但是不允许办理地上施工证，那核发承诺制工程证无意义，极大延缓了企业开工建设进度。</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813A6">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eastAsia="zh-CN" w:bidi="ar"/>
              </w:rPr>
              <w:t>不采纳。据了解，目前仅少数行政区允许住宅项目通过承诺制取得《建设工程规划许可证》，大多数行政区仍采用传统模式办理，三阶段施工许可制度已实现“拿地即开工”。建设单位应充分利用基坑、地下室的施工时间，尽快办理完成《建设工程规划许可证》及其技术审查报告所有审批手续。《建设工程规划许可证》与施工证均采用承诺制容易出现在方案不稳定即开工建设的情况，有可能导致后期技术审查无法通过，反而不利于工期。</w:t>
            </w:r>
          </w:p>
        </w:tc>
      </w:tr>
      <w:tr w14:paraId="5963D753">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4419B">
            <w:pPr>
              <w:widowControl/>
              <w:jc w:val="center"/>
              <w:textAlignment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3</w:t>
            </w:r>
          </w:p>
        </w:tc>
        <w:tc>
          <w:tcPr>
            <w:tcW w:w="2552" w:type="dxa"/>
            <w:vMerge w:val="continue"/>
            <w:tcBorders>
              <w:left w:val="single" w:color="000000" w:sz="4" w:space="0"/>
              <w:bottom w:val="single" w:color="000000" w:sz="4" w:space="0"/>
              <w:right w:val="single" w:color="000000" w:sz="4" w:space="0"/>
            </w:tcBorders>
            <w:shd w:val="clear" w:color="auto" w:fill="auto"/>
            <w:vAlign w:val="center"/>
          </w:tcPr>
          <w:p w14:paraId="693BDA56">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989A4">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color w:val="000000"/>
                <w:kern w:val="0"/>
                <w:sz w:val="24"/>
                <w:highlight w:val="none"/>
                <w:lang w:bidi="ar"/>
              </w:rPr>
              <w:t>建议施工图审查材料承诺期限为6个月，可以一次延期。</w:t>
            </w:r>
          </w:p>
          <w:p w14:paraId="4F19FA01">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理由：</w:t>
            </w:r>
            <w:r>
              <w:rPr>
                <w:rFonts w:hint="eastAsia" w:ascii="仿宋_GB2312" w:hAnsi="仿宋_GB2312" w:eastAsia="仿宋_GB2312" w:cs="仿宋_GB2312"/>
                <w:color w:val="000000"/>
                <w:kern w:val="0"/>
                <w:sz w:val="24"/>
                <w:highlight w:val="none"/>
                <w:lang w:bidi="ar"/>
              </w:rPr>
              <w:t>根据实际操作，工程证批后监管及消防联合审查耗时较久</w:t>
            </w:r>
            <w:r>
              <w:rPr>
                <w:rFonts w:hint="eastAsia" w:ascii="仿宋_GB2312" w:hAnsi="仿宋_GB2312" w:eastAsia="仿宋_GB2312" w:cs="仿宋_GB2312"/>
                <w:color w:val="000000"/>
                <w:kern w:val="0"/>
                <w:sz w:val="24"/>
                <w:highlight w:val="none"/>
                <w:lang w:eastAsia="zh-CN" w:bidi="ar"/>
              </w:rPr>
              <w:t>。</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C8B45">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eastAsia="zh-CN" w:bidi="ar"/>
              </w:rPr>
              <w:t>部分采纳。我局将结合您的意见进一步研究承诺期限问题。</w:t>
            </w:r>
          </w:p>
        </w:tc>
      </w:tr>
      <w:tr w14:paraId="0CEAB958">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8AC0E">
            <w:pPr>
              <w:widowControl/>
              <w:jc w:val="center"/>
              <w:textAlignment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4</w:t>
            </w:r>
          </w:p>
        </w:tc>
        <w:tc>
          <w:tcPr>
            <w:tcW w:w="2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2C4F3">
            <w:pPr>
              <w:spacing w:line="240" w:lineRule="atLeast"/>
              <w:jc w:val="center"/>
              <w:rPr>
                <w:rFonts w:hint="default" w:ascii="仿宋_GB2312" w:hAnsi="仿宋_GB2312" w:eastAsia="仿宋_GB2312" w:cs="仿宋_GB2312"/>
                <w:color w:val="000000"/>
                <w:kern w:val="0"/>
                <w:sz w:val="24"/>
                <w:highlight w:val="none"/>
                <w:lang w:val="en-US" w:bidi="ar"/>
              </w:rPr>
            </w:pPr>
            <w:r>
              <w:rPr>
                <w:rFonts w:hint="default" w:ascii="仿宋_GB2312" w:hAnsi="仿宋_GB2312" w:eastAsia="仿宋_GB2312" w:cs="仿宋_GB2312"/>
                <w:color w:val="000000"/>
                <w:kern w:val="0"/>
                <w:sz w:val="24"/>
                <w:highlight w:val="none"/>
                <w:lang w:val="en-US" w:bidi="ar"/>
              </w:rPr>
              <w:t>189</w:t>
            </w:r>
            <w:r>
              <w:rPr>
                <w:rFonts w:hint="eastAsia" w:ascii="仿宋_GB2312" w:hAnsi="仿宋_GB2312" w:eastAsia="仿宋_GB2312" w:cs="仿宋_GB2312"/>
                <w:color w:val="000000"/>
                <w:kern w:val="0"/>
                <w:sz w:val="24"/>
                <w:highlight w:val="none"/>
                <w:lang w:val="en-US" w:eastAsia="zh-CN" w:bidi="ar"/>
              </w:rPr>
              <w:t>****</w:t>
            </w:r>
            <w:r>
              <w:rPr>
                <w:rFonts w:hint="default" w:ascii="仿宋_GB2312" w:hAnsi="仿宋_GB2312" w:eastAsia="仿宋_GB2312" w:cs="仿宋_GB2312"/>
                <w:color w:val="000000"/>
                <w:kern w:val="0"/>
                <w:sz w:val="24"/>
                <w:highlight w:val="none"/>
                <w:lang w:val="en-US" w:bidi="ar"/>
              </w:rPr>
              <w:t>8122</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5E8B2">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color w:val="000000"/>
                <w:kern w:val="0"/>
                <w:sz w:val="24"/>
                <w:highlight w:val="none"/>
                <w:lang w:eastAsia="zh-CN" w:bidi="ar"/>
              </w:rPr>
              <w:t>承诺期限及监管措施各阶段容缺办理施工许可证的承诺期限调整为“ 3 个月”建议改成“6个月”。</w:t>
            </w:r>
          </w:p>
          <w:p w14:paraId="4B570962">
            <w:pPr>
              <w:spacing w:line="240" w:lineRule="atLeast"/>
              <w:jc w:val="left"/>
              <w:rPr>
                <w:rFonts w:hint="eastAsia"/>
                <w:highlight w:val="none"/>
                <w:lang w:eastAsia="zh-CN"/>
              </w:rPr>
            </w:pPr>
            <w:r>
              <w:rPr>
                <w:rFonts w:hint="eastAsia" w:ascii="仿宋_GB2312" w:hAnsi="仿宋_GB2312" w:eastAsia="仿宋_GB2312" w:cs="仿宋_GB2312"/>
                <w:b/>
                <w:bCs/>
                <w:color w:val="000000"/>
                <w:kern w:val="0"/>
                <w:sz w:val="24"/>
                <w:highlight w:val="none"/>
                <w:lang w:eastAsia="zh-CN" w:bidi="ar"/>
              </w:rPr>
              <w:t>理由：</w:t>
            </w:r>
            <w:r>
              <w:rPr>
                <w:rFonts w:hint="eastAsia" w:ascii="仿宋_GB2312" w:hAnsi="仿宋_GB2312" w:eastAsia="仿宋_GB2312" w:cs="仿宋_GB2312"/>
                <w:b w:val="0"/>
                <w:bCs w:val="0"/>
                <w:color w:val="000000"/>
                <w:kern w:val="0"/>
                <w:sz w:val="24"/>
                <w:highlight w:val="none"/>
                <w:lang w:eastAsia="zh-CN" w:bidi="ar"/>
              </w:rPr>
              <w:t>目前施工图审查同消防并联，3个月承诺期太短了，实际操作中需要4-5个月左右，建议承诺期延长至“6个月”。</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42F91">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eastAsia="zh-CN" w:bidi="ar"/>
              </w:rPr>
              <w:t>部分采纳。我局将结合您的意见进一步研究承诺期限问题。</w:t>
            </w:r>
          </w:p>
        </w:tc>
      </w:tr>
      <w:tr w14:paraId="674FCA47">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90A30">
            <w:pPr>
              <w:widowControl/>
              <w:jc w:val="center"/>
              <w:textAlignment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5</w:t>
            </w:r>
          </w:p>
        </w:tc>
        <w:tc>
          <w:tcPr>
            <w:tcW w:w="2552" w:type="dxa"/>
            <w:vMerge w:val="restart"/>
            <w:tcBorders>
              <w:top w:val="single" w:color="000000" w:sz="4" w:space="0"/>
              <w:left w:val="single" w:color="000000" w:sz="4" w:space="0"/>
              <w:right w:val="single" w:color="000000" w:sz="4" w:space="0"/>
            </w:tcBorders>
            <w:shd w:val="clear" w:color="auto" w:fill="auto"/>
            <w:vAlign w:val="center"/>
          </w:tcPr>
          <w:p w14:paraId="03B663A2">
            <w:pPr>
              <w:spacing w:line="240" w:lineRule="atLeast"/>
              <w:jc w:val="center"/>
              <w:rPr>
                <w:rFonts w:hint="default" w:ascii="仿宋_GB2312" w:hAnsi="仿宋_GB2312" w:eastAsia="仿宋_GB2312" w:cs="仿宋_GB2312"/>
                <w:color w:val="000000"/>
                <w:kern w:val="0"/>
                <w:sz w:val="24"/>
                <w:highlight w:val="none"/>
                <w:lang w:val="en-US" w:bidi="ar"/>
              </w:rPr>
            </w:pPr>
            <w:r>
              <w:rPr>
                <w:rFonts w:hint="default" w:ascii="仿宋_GB2312" w:hAnsi="仿宋_GB2312" w:eastAsia="仿宋_GB2312" w:cs="仿宋_GB2312"/>
                <w:color w:val="000000"/>
                <w:kern w:val="0"/>
                <w:sz w:val="24"/>
                <w:highlight w:val="none"/>
                <w:lang w:bidi="ar"/>
              </w:rPr>
              <w:t>1471727829@qq.com</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4B1D4">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color w:val="000000"/>
                <w:kern w:val="0"/>
                <w:sz w:val="24"/>
                <w:highlight w:val="none"/>
                <w:lang w:bidi="ar"/>
              </w:rPr>
              <w:t>关于第四</w:t>
            </w:r>
            <w:r>
              <w:rPr>
                <w:rFonts w:hint="eastAsia" w:ascii="仿宋_GB2312" w:hAnsi="仿宋_GB2312" w:eastAsia="仿宋_GB2312" w:cs="仿宋_GB2312"/>
                <w:color w:val="000000"/>
                <w:kern w:val="0"/>
                <w:sz w:val="24"/>
                <w:highlight w:val="none"/>
                <w:lang w:eastAsia="zh-CN" w:bidi="ar"/>
              </w:rPr>
              <w:t>部分</w:t>
            </w:r>
            <w:r>
              <w:rPr>
                <w:rFonts w:hint="eastAsia" w:ascii="仿宋_GB2312" w:hAnsi="仿宋_GB2312" w:eastAsia="仿宋_GB2312" w:cs="仿宋_GB2312"/>
                <w:color w:val="000000"/>
                <w:kern w:val="0"/>
                <w:sz w:val="24"/>
                <w:highlight w:val="none"/>
                <w:lang w:bidi="ar"/>
              </w:rPr>
              <w:t>第（二）</w:t>
            </w:r>
            <w:r>
              <w:rPr>
                <w:rFonts w:hint="eastAsia" w:ascii="仿宋_GB2312" w:hAnsi="仿宋_GB2312" w:eastAsia="仿宋_GB2312" w:cs="仿宋_GB2312"/>
                <w:color w:val="000000"/>
                <w:kern w:val="0"/>
                <w:sz w:val="24"/>
                <w:highlight w:val="none"/>
                <w:lang w:eastAsia="zh-CN" w:bidi="ar"/>
              </w:rPr>
              <w:t>条</w:t>
            </w:r>
            <w:r>
              <w:rPr>
                <w:rFonts w:hint="eastAsia" w:ascii="仿宋_GB2312" w:hAnsi="仿宋_GB2312" w:eastAsia="仿宋_GB2312" w:cs="仿宋_GB2312"/>
                <w:color w:val="000000"/>
                <w:kern w:val="0"/>
                <w:sz w:val="24"/>
                <w:highlight w:val="none"/>
                <w:lang w:bidi="ar"/>
              </w:rPr>
              <w:t>第2点</w:t>
            </w:r>
            <w:r>
              <w:rPr>
                <w:rFonts w:hint="eastAsia" w:ascii="仿宋_GB2312" w:hAnsi="仿宋_GB2312" w:eastAsia="仿宋_GB2312" w:cs="仿宋_GB2312"/>
                <w:color w:val="000000"/>
                <w:kern w:val="0"/>
                <w:sz w:val="24"/>
                <w:highlight w:val="none"/>
                <w:lang w:eastAsia="zh-CN" w:bidi="ar"/>
              </w:rPr>
              <w:t>，</w:t>
            </w:r>
            <w:r>
              <w:rPr>
                <w:rFonts w:hint="eastAsia" w:ascii="仿宋_GB2312" w:hAnsi="仿宋_GB2312" w:eastAsia="仿宋_GB2312" w:cs="仿宋_GB2312"/>
                <w:color w:val="000000"/>
                <w:kern w:val="0"/>
                <w:sz w:val="24"/>
                <w:highlight w:val="none"/>
                <w:lang w:bidi="ar"/>
              </w:rPr>
              <w:t>建议仍然能够使用承诺制《建设工程规划许可证》办理地上阶段施工许可证。</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226F4">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eastAsia="zh-CN" w:bidi="ar"/>
              </w:rPr>
              <w:t>不采纳。据了解，目前仅少数行政区允许住宅项目通过承诺制取得《建设工程规划许可证》，大多数行政区仍采用传统模式办理，三阶段施工许可制度已实现“拿地即开工”。建设单位应充分利用基坑、地下室的施工时间，尽快办理完成《建设工程规划许可证》及其技术审查报告所有审批手续。《建设工程规划许可证》与施工证均采用承诺制容易出现在方案不稳定即开工建设的情况，有可能导致后期技术审查无法通过，反而不利于工期。</w:t>
            </w:r>
          </w:p>
        </w:tc>
      </w:tr>
      <w:tr w14:paraId="4C6EBDDA">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2E74F">
            <w:pPr>
              <w:widowControl/>
              <w:jc w:val="center"/>
              <w:textAlignment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6</w:t>
            </w:r>
          </w:p>
        </w:tc>
        <w:tc>
          <w:tcPr>
            <w:tcW w:w="2552" w:type="dxa"/>
            <w:vMerge w:val="continue"/>
            <w:tcBorders>
              <w:left w:val="single" w:color="000000" w:sz="4" w:space="0"/>
              <w:bottom w:val="single" w:color="000000" w:sz="4" w:space="0"/>
              <w:right w:val="single" w:color="000000" w:sz="4" w:space="0"/>
            </w:tcBorders>
            <w:shd w:val="clear" w:color="auto" w:fill="auto"/>
            <w:vAlign w:val="center"/>
          </w:tcPr>
          <w:p w14:paraId="5FEA6B66">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4E81F">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color w:val="000000"/>
                <w:kern w:val="0"/>
                <w:sz w:val="24"/>
                <w:highlight w:val="none"/>
                <w:lang w:bidi="ar"/>
              </w:rPr>
              <w:t>关于第五</w:t>
            </w:r>
            <w:r>
              <w:rPr>
                <w:rFonts w:hint="eastAsia" w:ascii="仿宋_GB2312" w:hAnsi="仿宋_GB2312" w:eastAsia="仿宋_GB2312" w:cs="仿宋_GB2312"/>
                <w:color w:val="000000"/>
                <w:kern w:val="0"/>
                <w:sz w:val="24"/>
                <w:highlight w:val="none"/>
                <w:lang w:eastAsia="zh-CN" w:bidi="ar"/>
              </w:rPr>
              <w:t>部分</w:t>
            </w:r>
            <w:r>
              <w:rPr>
                <w:rFonts w:hint="eastAsia" w:ascii="仿宋_GB2312" w:hAnsi="仿宋_GB2312" w:eastAsia="仿宋_GB2312" w:cs="仿宋_GB2312"/>
                <w:color w:val="000000"/>
                <w:kern w:val="0"/>
                <w:sz w:val="24"/>
                <w:highlight w:val="none"/>
                <w:lang w:bidi="ar"/>
              </w:rPr>
              <w:t>，建议：</w:t>
            </w:r>
            <w:r>
              <w:rPr>
                <w:rFonts w:hint="eastAsia" w:ascii="仿宋_GB2312" w:hAnsi="仿宋_GB2312" w:eastAsia="仿宋_GB2312" w:cs="仿宋_GB2312"/>
                <w:color w:val="000000"/>
                <w:kern w:val="0"/>
                <w:sz w:val="24"/>
                <w:highlight w:val="none"/>
                <w:lang w:eastAsia="zh-CN" w:bidi="ar"/>
              </w:rPr>
              <w:t>（</w:t>
            </w:r>
            <w:r>
              <w:rPr>
                <w:rFonts w:hint="eastAsia" w:ascii="仿宋_GB2312" w:hAnsi="仿宋_GB2312" w:eastAsia="仿宋_GB2312" w:cs="仿宋_GB2312"/>
                <w:color w:val="000000"/>
                <w:kern w:val="0"/>
                <w:sz w:val="24"/>
                <w:highlight w:val="none"/>
                <w:lang w:val="en-US" w:eastAsia="zh-CN" w:bidi="ar"/>
              </w:rPr>
              <w:t>1</w:t>
            </w:r>
            <w:r>
              <w:rPr>
                <w:rFonts w:hint="eastAsia" w:ascii="仿宋_GB2312" w:hAnsi="仿宋_GB2312" w:eastAsia="仿宋_GB2312" w:cs="仿宋_GB2312"/>
                <w:color w:val="000000"/>
                <w:kern w:val="0"/>
                <w:sz w:val="24"/>
                <w:highlight w:val="none"/>
                <w:lang w:eastAsia="zh-CN" w:bidi="ar"/>
              </w:rPr>
              <w:t>）</w:t>
            </w:r>
            <w:r>
              <w:rPr>
                <w:rFonts w:hint="eastAsia" w:ascii="仿宋_GB2312" w:hAnsi="仿宋_GB2312" w:eastAsia="仿宋_GB2312" w:cs="仿宋_GB2312"/>
                <w:color w:val="000000"/>
                <w:kern w:val="0"/>
                <w:sz w:val="24"/>
                <w:highlight w:val="none"/>
                <w:lang w:bidi="ar"/>
              </w:rPr>
              <w:t>承诺期限调整为6个月，允许延期一次；</w:t>
            </w:r>
            <w:r>
              <w:rPr>
                <w:rFonts w:hint="eastAsia" w:ascii="仿宋_GB2312" w:hAnsi="仿宋_GB2312" w:eastAsia="仿宋_GB2312" w:cs="仿宋_GB2312"/>
                <w:color w:val="000000"/>
                <w:kern w:val="0"/>
                <w:sz w:val="24"/>
                <w:highlight w:val="none"/>
                <w:lang w:eastAsia="zh-CN" w:bidi="ar"/>
              </w:rPr>
              <w:t>（</w:t>
            </w:r>
            <w:r>
              <w:rPr>
                <w:rFonts w:hint="eastAsia" w:ascii="仿宋_GB2312" w:hAnsi="仿宋_GB2312" w:eastAsia="仿宋_GB2312" w:cs="仿宋_GB2312"/>
                <w:color w:val="000000"/>
                <w:kern w:val="0"/>
                <w:sz w:val="24"/>
                <w:highlight w:val="none"/>
                <w:lang w:val="en-US" w:eastAsia="zh-CN" w:bidi="ar"/>
              </w:rPr>
              <w:t>2</w:t>
            </w:r>
            <w:r>
              <w:rPr>
                <w:rFonts w:hint="eastAsia" w:ascii="仿宋_GB2312" w:hAnsi="仿宋_GB2312" w:eastAsia="仿宋_GB2312" w:cs="仿宋_GB2312"/>
                <w:color w:val="000000"/>
                <w:kern w:val="0"/>
                <w:sz w:val="24"/>
                <w:highlight w:val="none"/>
                <w:lang w:eastAsia="zh-CN" w:bidi="ar"/>
              </w:rPr>
              <w:t>）</w:t>
            </w:r>
            <w:r>
              <w:rPr>
                <w:rFonts w:hint="eastAsia" w:ascii="仿宋_GB2312" w:hAnsi="仿宋_GB2312" w:eastAsia="仿宋_GB2312" w:cs="仿宋_GB2312"/>
                <w:color w:val="000000"/>
                <w:kern w:val="0"/>
                <w:sz w:val="24"/>
                <w:highlight w:val="none"/>
                <w:lang w:bidi="ar"/>
              </w:rPr>
              <w:t>建议按工规证范围出具消防技术审查意见。</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2553A">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eastAsia="zh-CN" w:bidi="ar"/>
              </w:rPr>
              <w:t>部分采纳。我局将结合您的意见进一步研究承诺期限问题和出具消防审查意见问题。</w:t>
            </w:r>
          </w:p>
        </w:tc>
      </w:tr>
      <w:tr w14:paraId="0DA54BA0">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F03B">
            <w:pPr>
              <w:widowControl/>
              <w:jc w:val="center"/>
              <w:textAlignment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7</w:t>
            </w:r>
          </w:p>
        </w:tc>
        <w:tc>
          <w:tcPr>
            <w:tcW w:w="2552" w:type="dxa"/>
            <w:vMerge w:val="restart"/>
            <w:tcBorders>
              <w:top w:val="single" w:color="000000" w:sz="4" w:space="0"/>
              <w:left w:val="single" w:color="000000" w:sz="4" w:space="0"/>
              <w:right w:val="single" w:color="000000" w:sz="4" w:space="0"/>
            </w:tcBorders>
            <w:shd w:val="clear" w:color="auto" w:fill="auto"/>
            <w:vAlign w:val="center"/>
          </w:tcPr>
          <w:p w14:paraId="17E38D99">
            <w:pPr>
              <w:spacing w:line="240" w:lineRule="atLeast"/>
              <w:jc w:val="center"/>
              <w:rPr>
                <w:rFonts w:hint="default" w:ascii="仿宋_GB2312" w:hAnsi="仿宋_GB2312" w:eastAsia="仿宋_GB2312" w:cs="仿宋_GB2312"/>
                <w:color w:val="000000"/>
                <w:kern w:val="0"/>
                <w:sz w:val="24"/>
                <w:highlight w:val="none"/>
                <w:lang w:val="en-US" w:bidi="ar"/>
              </w:rPr>
            </w:pPr>
            <w:r>
              <w:rPr>
                <w:rFonts w:hint="default" w:ascii="仿宋_GB2312" w:hAnsi="仿宋_GB2312" w:eastAsia="仿宋_GB2312" w:cs="仿宋_GB2312"/>
                <w:color w:val="000000"/>
                <w:kern w:val="0"/>
                <w:sz w:val="24"/>
                <w:highlight w:val="none"/>
                <w:lang w:val="en-US" w:bidi="ar"/>
              </w:rPr>
              <w:t>137</w:t>
            </w:r>
            <w:r>
              <w:rPr>
                <w:rFonts w:hint="eastAsia" w:ascii="仿宋_GB2312" w:hAnsi="仿宋_GB2312" w:eastAsia="仿宋_GB2312" w:cs="仿宋_GB2312"/>
                <w:color w:val="000000"/>
                <w:kern w:val="0"/>
                <w:sz w:val="24"/>
                <w:highlight w:val="none"/>
                <w:lang w:val="en-US" w:eastAsia="zh-CN" w:bidi="ar"/>
              </w:rPr>
              <w:t>****</w:t>
            </w:r>
            <w:r>
              <w:rPr>
                <w:rFonts w:hint="default" w:ascii="仿宋_GB2312" w:hAnsi="仿宋_GB2312" w:eastAsia="仿宋_GB2312" w:cs="仿宋_GB2312"/>
                <w:color w:val="000000"/>
                <w:kern w:val="0"/>
                <w:sz w:val="24"/>
                <w:highlight w:val="none"/>
                <w:lang w:val="en-US" w:bidi="ar"/>
              </w:rPr>
              <w:t>5741</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A9650">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color w:val="000000"/>
                <w:kern w:val="0"/>
                <w:sz w:val="24"/>
                <w:highlight w:val="none"/>
                <w:lang w:bidi="ar"/>
              </w:rPr>
              <w:t>关于第四</w:t>
            </w:r>
            <w:r>
              <w:rPr>
                <w:rFonts w:hint="eastAsia" w:ascii="仿宋_GB2312" w:hAnsi="仿宋_GB2312" w:eastAsia="仿宋_GB2312" w:cs="仿宋_GB2312"/>
                <w:color w:val="000000"/>
                <w:kern w:val="0"/>
                <w:sz w:val="24"/>
                <w:highlight w:val="none"/>
                <w:lang w:eastAsia="zh-CN" w:bidi="ar"/>
              </w:rPr>
              <w:t>部分</w:t>
            </w:r>
            <w:r>
              <w:rPr>
                <w:rFonts w:hint="eastAsia" w:ascii="仿宋_GB2312" w:hAnsi="仿宋_GB2312" w:eastAsia="仿宋_GB2312" w:cs="仿宋_GB2312"/>
                <w:color w:val="000000"/>
                <w:kern w:val="0"/>
                <w:sz w:val="24"/>
                <w:highlight w:val="none"/>
                <w:lang w:bidi="ar"/>
              </w:rPr>
              <w:t>第（二）</w:t>
            </w:r>
            <w:r>
              <w:rPr>
                <w:rFonts w:hint="eastAsia" w:ascii="仿宋_GB2312" w:hAnsi="仿宋_GB2312" w:eastAsia="仿宋_GB2312" w:cs="仿宋_GB2312"/>
                <w:color w:val="000000"/>
                <w:kern w:val="0"/>
                <w:sz w:val="24"/>
                <w:highlight w:val="none"/>
                <w:lang w:eastAsia="zh-CN" w:bidi="ar"/>
              </w:rPr>
              <w:t>条</w:t>
            </w:r>
            <w:r>
              <w:rPr>
                <w:rFonts w:hint="eastAsia" w:ascii="仿宋_GB2312" w:hAnsi="仿宋_GB2312" w:eastAsia="仿宋_GB2312" w:cs="仿宋_GB2312"/>
                <w:color w:val="000000"/>
                <w:kern w:val="0"/>
                <w:sz w:val="24"/>
                <w:highlight w:val="none"/>
                <w:lang w:bidi="ar"/>
              </w:rPr>
              <w:t>第2点</w:t>
            </w:r>
            <w:r>
              <w:rPr>
                <w:rFonts w:hint="eastAsia" w:ascii="仿宋_GB2312" w:hAnsi="仿宋_GB2312" w:eastAsia="仿宋_GB2312" w:cs="仿宋_GB2312"/>
                <w:color w:val="000000"/>
                <w:kern w:val="0"/>
                <w:sz w:val="24"/>
                <w:highlight w:val="none"/>
                <w:lang w:eastAsia="zh-CN" w:bidi="ar"/>
              </w:rPr>
              <w:t>，</w:t>
            </w:r>
            <w:r>
              <w:rPr>
                <w:rFonts w:hint="eastAsia" w:ascii="仿宋_GB2312" w:hAnsi="仿宋_GB2312" w:eastAsia="仿宋_GB2312" w:cs="仿宋_GB2312"/>
                <w:color w:val="000000"/>
                <w:kern w:val="0"/>
                <w:sz w:val="24"/>
                <w:highlight w:val="none"/>
                <w:lang w:bidi="ar"/>
              </w:rPr>
              <w:t>建议仍然能够使用承诺制《建设工程规划许可证》办理地上阶段施工许可证。</w:t>
            </w:r>
          </w:p>
          <w:p w14:paraId="45A36132">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理由：</w:t>
            </w:r>
            <w:r>
              <w:rPr>
                <w:rFonts w:hint="eastAsia" w:ascii="仿宋_GB2312" w:hAnsi="仿宋_GB2312" w:eastAsia="仿宋_GB2312" w:cs="仿宋_GB2312"/>
                <w:color w:val="000000"/>
                <w:kern w:val="0"/>
                <w:sz w:val="24"/>
                <w:highlight w:val="none"/>
                <w:lang w:bidi="ar"/>
              </w:rPr>
              <w:t>由于办理承诺制工规证后的批后监管工期较长，平均约80日历天，如按新要求则容易出现建设单位施工到正负零需停工等待取证的情况。之前出具承诺制工规证则是为了支持建设单位能尽早施工正负零以上工程，以便楼栋尽早达到预售结构销售回款，以缓解巨大的资金压力。其相关风险由建设单位自担，从之前的实施情况来看，风险基本均可控。</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A3433">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eastAsia="zh-CN" w:bidi="ar"/>
              </w:rPr>
              <w:t>不采纳。据了解，目前仅少数行政区允许住宅项目通过承诺制取得《建设工程规划许可证》，大多数行政区仍采用传统模式办理，三阶段施工许可制度已实现“拿地即开工”。建设单位应充分利用基坑、地下室的施工时间，尽快办理完成《建设工程规划许可证》及其技术审查报告所有审批手续。《建设工程规划许可证》与施工证均采用承诺制容易出现在方案不稳定即开工建设的情况，有可能导致后期技术审查无法通过，反而不利于工期。</w:t>
            </w:r>
          </w:p>
        </w:tc>
      </w:tr>
      <w:tr w14:paraId="190F855C">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48C8F">
            <w:pPr>
              <w:widowControl/>
              <w:jc w:val="center"/>
              <w:textAlignment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8</w:t>
            </w:r>
          </w:p>
        </w:tc>
        <w:tc>
          <w:tcPr>
            <w:tcW w:w="2552" w:type="dxa"/>
            <w:vMerge w:val="continue"/>
            <w:tcBorders>
              <w:left w:val="single" w:color="000000" w:sz="4" w:space="0"/>
              <w:bottom w:val="single" w:color="000000" w:sz="4" w:space="0"/>
              <w:right w:val="single" w:color="000000" w:sz="4" w:space="0"/>
            </w:tcBorders>
            <w:shd w:val="clear" w:color="auto" w:fill="auto"/>
            <w:vAlign w:val="center"/>
          </w:tcPr>
          <w:p w14:paraId="20EB6A5B">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9BDA3">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color w:val="000000"/>
                <w:kern w:val="0"/>
                <w:sz w:val="24"/>
                <w:highlight w:val="none"/>
                <w:lang w:bidi="ar"/>
              </w:rPr>
              <w:t>关于第五</w:t>
            </w:r>
            <w:r>
              <w:rPr>
                <w:rFonts w:hint="eastAsia" w:ascii="仿宋_GB2312" w:hAnsi="仿宋_GB2312" w:eastAsia="仿宋_GB2312" w:cs="仿宋_GB2312"/>
                <w:color w:val="000000"/>
                <w:kern w:val="0"/>
                <w:sz w:val="24"/>
                <w:highlight w:val="none"/>
                <w:lang w:eastAsia="zh-CN" w:bidi="ar"/>
              </w:rPr>
              <w:t>部分：（</w:t>
            </w:r>
            <w:r>
              <w:rPr>
                <w:rFonts w:hint="eastAsia" w:ascii="仿宋_GB2312" w:hAnsi="仿宋_GB2312" w:eastAsia="仿宋_GB2312" w:cs="仿宋_GB2312"/>
                <w:color w:val="000000"/>
                <w:kern w:val="0"/>
                <w:sz w:val="24"/>
                <w:highlight w:val="none"/>
                <w:lang w:val="en-US" w:eastAsia="zh-CN" w:bidi="ar"/>
              </w:rPr>
              <w:t>1</w:t>
            </w:r>
            <w:r>
              <w:rPr>
                <w:rFonts w:hint="eastAsia" w:ascii="仿宋_GB2312" w:hAnsi="仿宋_GB2312" w:eastAsia="仿宋_GB2312" w:cs="仿宋_GB2312"/>
                <w:color w:val="000000"/>
                <w:kern w:val="0"/>
                <w:sz w:val="24"/>
                <w:highlight w:val="none"/>
                <w:lang w:eastAsia="zh-CN" w:bidi="ar"/>
              </w:rPr>
              <w:t>）</w:t>
            </w:r>
            <w:r>
              <w:rPr>
                <w:rFonts w:hint="eastAsia" w:ascii="仿宋_GB2312" w:hAnsi="仿宋_GB2312" w:eastAsia="仿宋_GB2312" w:cs="仿宋_GB2312"/>
                <w:color w:val="000000"/>
                <w:kern w:val="0"/>
                <w:sz w:val="24"/>
                <w:highlight w:val="none"/>
                <w:lang w:bidi="ar"/>
              </w:rPr>
              <w:t>建议承诺期限调整为6个月，允许延期一次；或者承诺期3个月，允许延期两次</w:t>
            </w:r>
            <w:r>
              <w:rPr>
                <w:rFonts w:hint="eastAsia" w:ascii="仿宋_GB2312" w:hAnsi="仿宋_GB2312" w:eastAsia="仿宋_GB2312" w:cs="仿宋_GB2312"/>
                <w:color w:val="000000"/>
                <w:kern w:val="0"/>
                <w:sz w:val="24"/>
                <w:highlight w:val="none"/>
                <w:lang w:eastAsia="zh-CN" w:bidi="ar"/>
              </w:rPr>
              <w:t>；（</w:t>
            </w:r>
            <w:r>
              <w:rPr>
                <w:rFonts w:hint="eastAsia" w:ascii="仿宋_GB2312" w:hAnsi="仿宋_GB2312" w:eastAsia="仿宋_GB2312" w:cs="仿宋_GB2312"/>
                <w:color w:val="000000"/>
                <w:kern w:val="0"/>
                <w:sz w:val="24"/>
                <w:highlight w:val="none"/>
                <w:lang w:val="en-US" w:eastAsia="zh-CN" w:bidi="ar"/>
              </w:rPr>
              <w:t>2</w:t>
            </w:r>
            <w:r>
              <w:rPr>
                <w:rFonts w:hint="eastAsia" w:ascii="仿宋_GB2312" w:hAnsi="仿宋_GB2312" w:eastAsia="仿宋_GB2312" w:cs="仿宋_GB2312"/>
                <w:color w:val="000000"/>
                <w:kern w:val="0"/>
                <w:sz w:val="24"/>
                <w:highlight w:val="none"/>
                <w:lang w:eastAsia="zh-CN" w:bidi="ar"/>
              </w:rPr>
              <w:t>）</w:t>
            </w:r>
            <w:r>
              <w:rPr>
                <w:rFonts w:hint="eastAsia" w:ascii="仿宋_GB2312" w:hAnsi="仿宋_GB2312" w:eastAsia="仿宋_GB2312" w:cs="仿宋_GB2312"/>
                <w:color w:val="000000"/>
                <w:kern w:val="0"/>
                <w:sz w:val="24"/>
                <w:highlight w:val="none"/>
                <w:lang w:bidi="ar"/>
              </w:rPr>
              <w:t>建议按工规证范围出具消防技术审查意见。</w:t>
            </w:r>
          </w:p>
          <w:p w14:paraId="7F9F99F9">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理由：</w:t>
            </w:r>
            <w:r>
              <w:rPr>
                <w:rFonts w:hint="eastAsia" w:ascii="仿宋_GB2312" w:hAnsi="仿宋_GB2312" w:eastAsia="仿宋_GB2312" w:cs="仿宋_GB2312"/>
                <w:color w:val="000000"/>
                <w:kern w:val="0"/>
                <w:sz w:val="24"/>
                <w:highlight w:val="none"/>
                <w:lang w:bidi="ar"/>
              </w:rPr>
              <w:t>由于以往南沙区项目，首先修规后正式工规证申领平均需90天，然后取得工规证后要完成《建设工程消防设计文件技术审查意见书》需90天，平均耗时至少半年，3个月是远不足够的，按新要求执行，大概率企业会出现违约情况出现，不利于助力企业的初衷。</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BD8A6">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eastAsia="zh-CN" w:bidi="ar"/>
              </w:rPr>
              <w:t>部分采纳。我局将结合您的意见进一步研究承诺期限问题和出具消防审查意见问题。</w:t>
            </w:r>
          </w:p>
        </w:tc>
      </w:tr>
      <w:tr w14:paraId="7E56AA1B">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6CBDE">
            <w:pPr>
              <w:widowControl/>
              <w:jc w:val="center"/>
              <w:textAlignment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9</w:t>
            </w:r>
          </w:p>
        </w:tc>
        <w:tc>
          <w:tcPr>
            <w:tcW w:w="2552" w:type="dxa"/>
            <w:vMerge w:val="restart"/>
            <w:tcBorders>
              <w:top w:val="single" w:color="000000" w:sz="4" w:space="0"/>
              <w:left w:val="single" w:color="000000" w:sz="4" w:space="0"/>
              <w:right w:val="single" w:color="000000" w:sz="4" w:space="0"/>
            </w:tcBorders>
            <w:shd w:val="clear" w:color="auto" w:fill="auto"/>
            <w:vAlign w:val="center"/>
          </w:tcPr>
          <w:p w14:paraId="72AEE212">
            <w:pPr>
              <w:spacing w:line="240" w:lineRule="atLeast"/>
              <w:jc w:val="center"/>
              <w:rPr>
                <w:rFonts w:hint="default" w:ascii="仿宋_GB2312" w:hAnsi="仿宋_GB2312" w:eastAsia="仿宋_GB2312" w:cs="仿宋_GB2312"/>
                <w:color w:val="000000"/>
                <w:kern w:val="0"/>
                <w:sz w:val="24"/>
                <w:highlight w:val="none"/>
                <w:lang w:val="en-US" w:bidi="ar"/>
              </w:rPr>
            </w:pPr>
            <w:r>
              <w:rPr>
                <w:rFonts w:hint="default" w:ascii="仿宋_GB2312" w:hAnsi="仿宋_GB2312" w:eastAsia="仿宋_GB2312" w:cs="仿宋_GB2312"/>
                <w:color w:val="000000"/>
                <w:kern w:val="0"/>
                <w:sz w:val="24"/>
                <w:highlight w:val="none"/>
                <w:lang w:val="en-US" w:bidi="ar"/>
              </w:rPr>
              <w:t>186</w:t>
            </w:r>
            <w:r>
              <w:rPr>
                <w:rFonts w:hint="eastAsia" w:ascii="仿宋_GB2312" w:hAnsi="仿宋_GB2312" w:eastAsia="仿宋_GB2312" w:cs="仿宋_GB2312"/>
                <w:color w:val="000000"/>
                <w:kern w:val="0"/>
                <w:sz w:val="24"/>
                <w:highlight w:val="none"/>
                <w:lang w:val="en-US" w:eastAsia="zh-CN" w:bidi="ar"/>
              </w:rPr>
              <w:t>****</w:t>
            </w:r>
            <w:bookmarkStart w:id="0" w:name="_GoBack"/>
            <w:bookmarkEnd w:id="0"/>
            <w:r>
              <w:rPr>
                <w:rFonts w:hint="default" w:ascii="仿宋_GB2312" w:hAnsi="仿宋_GB2312" w:eastAsia="仿宋_GB2312" w:cs="仿宋_GB2312"/>
                <w:color w:val="000000"/>
                <w:kern w:val="0"/>
                <w:sz w:val="24"/>
                <w:highlight w:val="none"/>
                <w:lang w:val="en-US" w:bidi="ar"/>
              </w:rPr>
              <w:t>1922</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3AE54">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color w:val="000000"/>
                <w:kern w:val="0"/>
                <w:sz w:val="24"/>
                <w:highlight w:val="none"/>
                <w:lang w:bidi="ar"/>
              </w:rPr>
              <w:t>参考二三阶段施工许可证采用“承诺制”审批的形式，建议一阶段施工证“基础施工”情形下，可采用承诺制办理模式进行办理，可由建设单位、设计单位出具施工图纸稳定性与一致性的承诺函，并承诺3个月内取得《基坑阶段施工图技术审查合格意见书》，并关联后续阶段的施工许可，即未完善“基坑支护及土方开挖”阶段施工图审查合格意见书的，不予办理“地下室”及“±0.000 以上”阶段施工许可，以约束建设单位认真履行承诺内容。</w:t>
            </w:r>
          </w:p>
          <w:p w14:paraId="3E0821D1">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b/>
                <w:bCs/>
                <w:color w:val="000000"/>
                <w:kern w:val="0"/>
                <w:sz w:val="24"/>
                <w:highlight w:val="none"/>
                <w:lang w:eastAsia="zh-CN" w:bidi="ar"/>
              </w:rPr>
              <w:t>理由：</w:t>
            </w:r>
            <w:r>
              <w:rPr>
                <w:rFonts w:hint="eastAsia" w:ascii="仿宋_GB2312" w:hAnsi="仿宋_GB2312" w:eastAsia="仿宋_GB2312" w:cs="仿宋_GB2312"/>
                <w:color w:val="000000"/>
                <w:kern w:val="0"/>
                <w:sz w:val="24"/>
                <w:highlight w:val="none"/>
                <w:lang w:eastAsia="zh-CN" w:bidi="ar"/>
              </w:rPr>
              <w:t>当前房地产行情低迷情况下，企业对新获取的土地项目开发要求极高，特别是住宅项目，主流房企为达成快速销售回款，“拿地即开工”为主流策略，同为政府的政策导向，土地获取后随即进行“基础+支护+土方开挖”的施工，本次政策优化对一阶段施工证新增“基础施工”的申报情形，为政策利好，能有效避免企业获取土地后能合法进行基础施工，但政策要求施工证提供基础施工图、地下室及地上建筑图，并取得《基坑阶段施工图技术审查合格意见书》后才能办理，由于图纸准备及取得审查合格意见书需要较长时间（至少1个月），基于此情况下，难以匹配“拿地即开工”的政策导向。</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4987F">
            <w:pPr>
              <w:spacing w:line="240" w:lineRule="atLeast"/>
              <w:jc w:val="left"/>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部分采纳。我局将进一步研究明确基坑阶段基础施工的要求。</w:t>
            </w:r>
          </w:p>
        </w:tc>
      </w:tr>
      <w:tr w14:paraId="7490CFB0">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331B6">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10</w:t>
            </w:r>
          </w:p>
        </w:tc>
        <w:tc>
          <w:tcPr>
            <w:tcW w:w="2552" w:type="dxa"/>
            <w:vMerge w:val="continue"/>
            <w:tcBorders>
              <w:left w:val="single" w:color="000000" w:sz="4" w:space="0"/>
              <w:bottom w:val="single" w:color="000000" w:sz="4" w:space="0"/>
              <w:right w:val="single" w:color="000000" w:sz="4" w:space="0"/>
            </w:tcBorders>
            <w:shd w:val="clear" w:color="auto" w:fill="auto"/>
            <w:vAlign w:val="center"/>
          </w:tcPr>
          <w:p w14:paraId="5AEB126E">
            <w:pPr>
              <w:spacing w:line="240" w:lineRule="atLeast"/>
              <w:jc w:val="center"/>
              <w:rPr>
                <w:rFonts w:hint="default" w:ascii="仿宋_GB2312" w:hAnsi="仿宋_GB2312" w:eastAsia="仿宋_GB2312" w:cs="仿宋_GB2312"/>
                <w:color w:val="000000"/>
                <w:kern w:val="0"/>
                <w:sz w:val="24"/>
                <w:highlight w:val="none"/>
                <w:lang w:val="en-US" w:bidi="ar"/>
              </w:rPr>
            </w:pP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D7D16">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color w:val="000000"/>
                <w:kern w:val="0"/>
                <w:sz w:val="24"/>
                <w:highlight w:val="none"/>
                <w:lang w:bidi="ar"/>
              </w:rPr>
              <w:t>关于第六</w:t>
            </w:r>
            <w:r>
              <w:rPr>
                <w:rFonts w:hint="eastAsia" w:ascii="仿宋_GB2312" w:hAnsi="仿宋_GB2312" w:eastAsia="仿宋_GB2312" w:cs="仿宋_GB2312"/>
                <w:color w:val="000000"/>
                <w:kern w:val="0"/>
                <w:sz w:val="24"/>
                <w:highlight w:val="none"/>
                <w:lang w:eastAsia="zh-CN" w:bidi="ar"/>
              </w:rPr>
              <w:t>部分</w:t>
            </w:r>
            <w:r>
              <w:rPr>
                <w:rFonts w:hint="eastAsia" w:ascii="仿宋_GB2312" w:hAnsi="仿宋_GB2312" w:eastAsia="仿宋_GB2312" w:cs="仿宋_GB2312"/>
                <w:color w:val="000000"/>
                <w:kern w:val="0"/>
                <w:sz w:val="24"/>
                <w:highlight w:val="none"/>
                <w:lang w:bidi="ar"/>
              </w:rPr>
              <w:t>第（二）</w:t>
            </w:r>
            <w:r>
              <w:rPr>
                <w:rFonts w:hint="eastAsia" w:ascii="仿宋_GB2312" w:hAnsi="仿宋_GB2312" w:eastAsia="仿宋_GB2312" w:cs="仿宋_GB2312"/>
                <w:color w:val="000000"/>
                <w:kern w:val="0"/>
                <w:sz w:val="24"/>
                <w:highlight w:val="none"/>
                <w:lang w:eastAsia="zh-CN" w:bidi="ar"/>
              </w:rPr>
              <w:t>条，</w:t>
            </w:r>
            <w:r>
              <w:rPr>
                <w:rFonts w:hint="eastAsia" w:ascii="仿宋_GB2312" w:hAnsi="仿宋_GB2312" w:eastAsia="仿宋_GB2312" w:cs="仿宋_GB2312"/>
                <w:color w:val="000000"/>
                <w:kern w:val="0"/>
                <w:sz w:val="24"/>
                <w:highlight w:val="none"/>
                <w:lang w:bidi="ar"/>
              </w:rPr>
              <w:t>建议取消“地下室原则上应整体报审，不可分割申报”的要求，建设单位可根据实际施工情况分期申请施工许可。</w:t>
            </w:r>
          </w:p>
          <w:p w14:paraId="1DCBAF8D">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理由：</w:t>
            </w:r>
            <w:r>
              <w:rPr>
                <w:rFonts w:hint="eastAsia" w:ascii="仿宋_GB2312" w:hAnsi="仿宋_GB2312" w:eastAsia="仿宋_GB2312" w:cs="仿宋_GB2312"/>
                <w:color w:val="000000"/>
                <w:kern w:val="0"/>
                <w:sz w:val="24"/>
                <w:highlight w:val="none"/>
                <w:lang w:bidi="ar"/>
              </w:rPr>
              <w:t>对于宗地面积较大房地产开发项目，考虑地下室方案稳定、施工经济性等因素，地下空间往往采取分期开发的策略，并非整体开发</w:t>
            </w:r>
            <w:r>
              <w:rPr>
                <w:rFonts w:hint="eastAsia" w:ascii="仿宋_GB2312" w:hAnsi="仿宋_GB2312" w:eastAsia="仿宋_GB2312" w:cs="仿宋_GB2312"/>
                <w:color w:val="000000"/>
                <w:kern w:val="0"/>
                <w:sz w:val="24"/>
                <w:highlight w:val="none"/>
                <w:lang w:eastAsia="zh-CN" w:bidi="ar"/>
              </w:rPr>
              <w:t>。</w:t>
            </w:r>
            <w:r>
              <w:rPr>
                <w:rFonts w:hint="eastAsia" w:ascii="仿宋_GB2312" w:hAnsi="仿宋_GB2312" w:eastAsia="仿宋_GB2312" w:cs="仿宋_GB2312"/>
                <w:color w:val="000000"/>
                <w:kern w:val="0"/>
                <w:sz w:val="24"/>
                <w:highlight w:val="none"/>
                <w:lang w:bidi="ar"/>
              </w:rPr>
              <w:t>故征求意见稿中“应整体报审，不可分隔申报”将增加建设单位开发成本及时间成本，并不利于项目快速开发。</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9107E">
            <w:pPr>
              <w:spacing w:line="240" w:lineRule="atLeast"/>
              <w:jc w:val="left"/>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eastAsia="zh-CN" w:bidi="ar"/>
              </w:rPr>
              <w:t>部分采纳。我局将结合您的意见进一步研究拆分送审问题。</w:t>
            </w:r>
          </w:p>
        </w:tc>
      </w:tr>
      <w:tr w14:paraId="06EBF7A2">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920AC">
            <w:pPr>
              <w:widowControl/>
              <w:jc w:val="center"/>
              <w:textAlignment w:val="center"/>
              <w:rPr>
                <w:rFonts w:hint="default"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11</w:t>
            </w:r>
          </w:p>
        </w:tc>
        <w:tc>
          <w:tcPr>
            <w:tcW w:w="2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65778">
            <w:pPr>
              <w:spacing w:line="240" w:lineRule="atLeast"/>
              <w:jc w:val="center"/>
              <w:rPr>
                <w:rFonts w:hint="eastAsia" w:ascii="仿宋_GB2312" w:hAnsi="仿宋_GB2312" w:eastAsia="仿宋_GB2312" w:cs="仿宋_GB2312"/>
                <w:color w:val="000000"/>
                <w:kern w:val="0"/>
                <w:sz w:val="24"/>
                <w:highlight w:val="none"/>
                <w:lang w:val="en-US" w:eastAsia="zh-CN" w:bidi="ar"/>
              </w:rPr>
            </w:pPr>
            <w:r>
              <w:rPr>
                <w:rFonts w:hint="eastAsia" w:ascii="仿宋_GB2312" w:hAnsi="仿宋_GB2312" w:eastAsia="仿宋_GB2312" w:cs="仿宋_GB2312"/>
                <w:color w:val="000000"/>
                <w:kern w:val="0"/>
                <w:sz w:val="24"/>
                <w:highlight w:val="none"/>
                <w:lang w:val="en-US" w:eastAsia="zh-CN" w:bidi="ar"/>
              </w:rPr>
              <w:t>满先生</w:t>
            </w:r>
          </w:p>
        </w:tc>
        <w:tc>
          <w:tcPr>
            <w:tcW w:w="7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36583">
            <w:pPr>
              <w:spacing w:line="240" w:lineRule="atLeast"/>
              <w:jc w:val="left"/>
              <w:rPr>
                <w:rFonts w:hint="eastAsia" w:ascii="仿宋_GB2312" w:hAnsi="仿宋_GB2312" w:eastAsia="仿宋_GB2312" w:cs="仿宋_GB2312"/>
                <w:color w:val="000000"/>
                <w:kern w:val="0"/>
                <w:sz w:val="24"/>
                <w:highlight w:val="none"/>
                <w:lang w:bidi="ar"/>
              </w:rPr>
            </w:pPr>
            <w:r>
              <w:rPr>
                <w:rFonts w:hint="eastAsia" w:ascii="仿宋_GB2312" w:hAnsi="仿宋_GB2312" w:eastAsia="仿宋_GB2312" w:cs="仿宋_GB2312"/>
                <w:b/>
                <w:bCs/>
                <w:color w:val="000000"/>
                <w:kern w:val="0"/>
                <w:sz w:val="24"/>
                <w:highlight w:val="none"/>
                <w:lang w:eastAsia="zh-CN" w:bidi="ar"/>
              </w:rPr>
              <w:t>意见：</w:t>
            </w:r>
            <w:r>
              <w:rPr>
                <w:rFonts w:hint="eastAsia" w:ascii="仿宋_GB2312" w:hAnsi="仿宋_GB2312" w:eastAsia="仿宋_GB2312" w:cs="仿宋_GB2312"/>
                <w:b w:val="0"/>
                <w:bCs w:val="0"/>
                <w:color w:val="000000"/>
                <w:kern w:val="0"/>
                <w:sz w:val="24"/>
                <w:highlight w:val="none"/>
                <w:lang w:eastAsia="zh-CN" w:bidi="ar"/>
              </w:rPr>
              <w:t>关于</w:t>
            </w:r>
            <w:r>
              <w:rPr>
                <w:rFonts w:hint="eastAsia" w:ascii="仿宋_GB2312" w:hAnsi="仿宋_GB2312" w:eastAsia="仿宋_GB2312" w:cs="仿宋_GB2312"/>
                <w:b w:val="0"/>
                <w:bCs w:val="0"/>
                <w:color w:val="000000"/>
                <w:kern w:val="0"/>
                <w:sz w:val="24"/>
                <w:highlight w:val="none"/>
                <w:lang w:bidi="ar"/>
              </w:rPr>
              <w:t>第六</w:t>
            </w:r>
            <w:r>
              <w:rPr>
                <w:rFonts w:hint="eastAsia" w:ascii="仿宋_GB2312" w:hAnsi="仿宋_GB2312" w:eastAsia="仿宋_GB2312" w:cs="仿宋_GB2312"/>
                <w:b w:val="0"/>
                <w:bCs w:val="0"/>
                <w:color w:val="000000"/>
                <w:kern w:val="0"/>
                <w:sz w:val="24"/>
                <w:highlight w:val="none"/>
                <w:lang w:eastAsia="zh-CN" w:bidi="ar"/>
              </w:rPr>
              <w:t>部分</w:t>
            </w:r>
            <w:r>
              <w:rPr>
                <w:rFonts w:hint="eastAsia" w:ascii="仿宋_GB2312" w:hAnsi="仿宋_GB2312" w:eastAsia="仿宋_GB2312" w:cs="仿宋_GB2312"/>
                <w:b w:val="0"/>
                <w:bCs w:val="0"/>
                <w:color w:val="000000"/>
                <w:kern w:val="0"/>
                <w:sz w:val="24"/>
                <w:highlight w:val="none"/>
                <w:lang w:bidi="ar"/>
              </w:rPr>
              <w:t>第（三）</w:t>
            </w:r>
            <w:r>
              <w:rPr>
                <w:rFonts w:hint="eastAsia" w:ascii="仿宋_GB2312" w:hAnsi="仿宋_GB2312" w:eastAsia="仿宋_GB2312" w:cs="仿宋_GB2312"/>
                <w:b w:val="0"/>
                <w:bCs w:val="0"/>
                <w:color w:val="000000"/>
                <w:kern w:val="0"/>
                <w:sz w:val="24"/>
                <w:highlight w:val="none"/>
                <w:lang w:eastAsia="zh-CN" w:bidi="ar"/>
              </w:rPr>
              <w:t>条</w:t>
            </w:r>
            <w:r>
              <w:rPr>
                <w:rFonts w:hint="eastAsia" w:ascii="仿宋_GB2312" w:hAnsi="仿宋_GB2312" w:eastAsia="仿宋_GB2312" w:cs="仿宋_GB2312"/>
                <w:b w:val="0"/>
                <w:bCs w:val="0"/>
                <w:color w:val="000000"/>
                <w:kern w:val="0"/>
                <w:sz w:val="24"/>
                <w:highlight w:val="none"/>
                <w:lang w:bidi="ar"/>
              </w:rPr>
              <w:t>，建议改为：建设单位取得《建设工程消防设计文件技术审查意见书》后，应在3个月内完成消防设计审查行政审批，否则重新开展消防技术审查。</w:t>
            </w:r>
          </w:p>
        </w:tc>
        <w:tc>
          <w:tcPr>
            <w:tcW w:w="38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E90A7">
            <w:pPr>
              <w:spacing w:line="240" w:lineRule="atLeast"/>
              <w:jc w:val="left"/>
              <w:rPr>
                <w:rFonts w:hint="eastAsia" w:ascii="仿宋_GB2312" w:hAnsi="仿宋_GB2312" w:eastAsia="仿宋_GB2312" w:cs="仿宋_GB2312"/>
                <w:color w:val="000000"/>
                <w:kern w:val="0"/>
                <w:sz w:val="24"/>
                <w:highlight w:val="none"/>
                <w:lang w:eastAsia="zh-CN" w:bidi="ar"/>
              </w:rPr>
            </w:pPr>
            <w:r>
              <w:rPr>
                <w:rFonts w:hint="eastAsia" w:ascii="仿宋_GB2312" w:hAnsi="仿宋_GB2312" w:eastAsia="仿宋_GB2312" w:cs="仿宋_GB2312"/>
                <w:color w:val="000000"/>
                <w:kern w:val="0"/>
                <w:sz w:val="24"/>
                <w:highlight w:val="none"/>
                <w:lang w:eastAsia="zh-CN" w:bidi="ar"/>
              </w:rPr>
              <w:t>采纳。</w:t>
            </w:r>
          </w:p>
        </w:tc>
      </w:tr>
    </w:tbl>
    <w:p w14:paraId="77321CEA"/>
    <w:sectPr>
      <w:pgSz w:w="16838" w:h="11850"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2000000000000000000"/>
    <w:charset w:val="86"/>
    <w:family w:val="script"/>
    <w:pitch w:val="default"/>
    <w:sig w:usb0="00000000" w:usb1="00000000" w:usb2="00000012"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BF09E8"/>
    <w:rsid w:val="20740AF8"/>
    <w:rsid w:val="3EDFB5C0"/>
    <w:rsid w:val="3FFB6E65"/>
    <w:rsid w:val="49382FE4"/>
    <w:rsid w:val="4B5F2682"/>
    <w:rsid w:val="67FE0A8F"/>
    <w:rsid w:val="6FBF09E8"/>
    <w:rsid w:val="775FA4CC"/>
    <w:rsid w:val="7DEFA39A"/>
    <w:rsid w:val="7F2AC09B"/>
    <w:rsid w:val="7FFF49E9"/>
    <w:rsid w:val="87DE1AFC"/>
    <w:rsid w:val="B9FBCBBF"/>
    <w:rsid w:val="BF9699AC"/>
    <w:rsid w:val="BFFCCC66"/>
    <w:rsid w:val="DBBBA32F"/>
    <w:rsid w:val="DBFF2F53"/>
    <w:rsid w:val="E7EA550E"/>
    <w:rsid w:val="F57D320E"/>
    <w:rsid w:val="F6D335BC"/>
    <w:rsid w:val="F77D02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2390</Words>
  <Characters>2460</Characters>
  <Lines>0</Lines>
  <Paragraphs>0</Paragraphs>
  <TotalTime>1</TotalTime>
  <ScaleCrop>false</ScaleCrop>
  <LinksUpToDate>false</LinksUpToDate>
  <CharactersWithSpaces>2463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2025-11-14T17:32:00Z</dcterms:created>
  <dc:creator>chentongyu</dc:creator>
  <cp:lastModifiedBy>DD+DD</cp:lastModifiedBy>
  <dcterms:modified xsi:type="dcterms:W3CDTF">2026-01-13T06:50:09Z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0BB77782AC46044293A3646930658281</vt:lpwstr>
  </property>
  <property fmtid="{D5CDD505-2E9C-101B-9397-08002B2CF9AE}" pid="4" name="KSOTemplateDocerSaveRecord">
    <vt:lpwstr>eyJoZGlkIjoiZTJhNGJhYzViNjM0YzA0Nzg2NWEzNzM4ZWFjOTMwZWYiLCJ1c2VySWQiOiI1ODUyNzc4MDUifQ==</vt:lpwstr>
  </property>
</Properties>
</file>