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410EB4">
      <w:pPr>
        <w:spacing w:line="560" w:lineRule="exact"/>
        <w:jc w:val="left"/>
        <w:rPr>
          <w:rFonts w:ascii="黑体" w:hAnsi="黑体" w:eastAsia="黑体" w:cs="方正小标宋简体"/>
          <w:sz w:val="32"/>
          <w:szCs w:val="32"/>
        </w:rPr>
      </w:pPr>
      <w:bookmarkStart w:id="0" w:name="_GoBack"/>
      <w:bookmarkEnd w:id="0"/>
      <w:r>
        <w:rPr>
          <w:rFonts w:hint="eastAsia" w:ascii="黑体" w:hAnsi="黑体" w:eastAsia="黑体" w:cs="方正小标宋简体"/>
          <w:sz w:val="32"/>
          <w:szCs w:val="32"/>
        </w:rPr>
        <w:t>附件：</w:t>
      </w:r>
    </w:p>
    <w:p w14:paraId="1206D102">
      <w:pPr>
        <w:spacing w:after="156" w:afterLines="50" w:line="56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w:t>
      </w:r>
      <w:r>
        <w:rPr>
          <w:rFonts w:hint="eastAsia" w:ascii="方正小标宋简体" w:hAnsi="方正小标宋简体" w:eastAsia="方正小标宋简体" w:cs="方正小标宋简体"/>
          <w:sz w:val="44"/>
          <w:szCs w:val="44"/>
        </w:rPr>
        <w:t>进一步提高设计标准提升住宅消防安全若干措施（征求意见稿）</w:t>
      </w:r>
      <w:r>
        <w:rPr>
          <w:rFonts w:hint="eastAsia" w:ascii="方正小标宋简体" w:hAnsi="方正小标宋简体" w:eastAsia="方正小标宋简体" w:cs="方正小标宋简体"/>
          <w:sz w:val="44"/>
          <w:szCs w:val="44"/>
          <w:lang w:val="en-US" w:eastAsia="zh-CN"/>
        </w:rPr>
        <w:t>》</w:t>
      </w:r>
    </w:p>
    <w:p w14:paraId="2D32B64E">
      <w:pPr>
        <w:spacing w:after="156" w:afterLines="50"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公众意见采纳情况表</w:t>
      </w:r>
    </w:p>
    <w:tbl>
      <w:tblPr>
        <w:tblStyle w:val="4"/>
        <w:tblW w:w="14596" w:type="dxa"/>
        <w:tblInd w:w="0" w:type="dxa"/>
        <w:tblLayout w:type="fixed"/>
        <w:tblCellMar>
          <w:top w:w="0" w:type="dxa"/>
          <w:left w:w="108" w:type="dxa"/>
          <w:bottom w:w="0" w:type="dxa"/>
          <w:right w:w="108" w:type="dxa"/>
        </w:tblCellMar>
      </w:tblPr>
      <w:tblGrid>
        <w:gridCol w:w="704"/>
        <w:gridCol w:w="2318"/>
        <w:gridCol w:w="7746"/>
        <w:gridCol w:w="3828"/>
      </w:tblGrid>
      <w:tr w14:paraId="3339F289">
        <w:tblPrEx>
          <w:tblCellMar>
            <w:top w:w="0" w:type="dxa"/>
            <w:left w:w="108" w:type="dxa"/>
            <w:bottom w:w="0" w:type="dxa"/>
            <w:right w:w="108" w:type="dxa"/>
          </w:tblCellMar>
        </w:tblPrEx>
        <w:trPr>
          <w:trHeight w:val="713"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5BEAE">
            <w:pPr>
              <w:widowControl/>
              <w:jc w:val="center"/>
              <w:textAlignment w:val="center"/>
              <w:rPr>
                <w:rFonts w:ascii="仿宋_GB2312" w:hAnsi="仿宋_GB2312" w:eastAsia="仿宋_GB2312" w:cs="仿宋_GB2312"/>
                <w:b/>
                <w:color w:val="000000"/>
                <w:sz w:val="24"/>
                <w:highlight w:val="none"/>
              </w:rPr>
            </w:pPr>
            <w:r>
              <w:rPr>
                <w:rFonts w:hint="eastAsia" w:ascii="仿宋_GB2312" w:hAnsi="仿宋_GB2312" w:eastAsia="仿宋_GB2312" w:cs="仿宋_GB2312"/>
                <w:b/>
                <w:color w:val="000000"/>
                <w:kern w:val="0"/>
                <w:sz w:val="24"/>
                <w:highlight w:val="none"/>
                <w:lang w:bidi="ar"/>
              </w:rPr>
              <w:t>序号</w:t>
            </w:r>
          </w:p>
        </w:tc>
        <w:tc>
          <w:tcPr>
            <w:tcW w:w="23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B9605">
            <w:pPr>
              <w:widowControl/>
              <w:jc w:val="center"/>
              <w:textAlignment w:val="center"/>
              <w:rPr>
                <w:rFonts w:ascii="仿宋_GB2312" w:hAnsi="仿宋_GB2312" w:eastAsia="仿宋_GB2312" w:cs="仿宋_GB2312"/>
                <w:b/>
                <w:color w:val="000000"/>
                <w:sz w:val="24"/>
                <w:highlight w:val="none"/>
              </w:rPr>
            </w:pPr>
            <w:r>
              <w:rPr>
                <w:rFonts w:hint="eastAsia" w:ascii="仿宋_GB2312" w:hAnsi="仿宋_GB2312" w:eastAsia="仿宋_GB2312" w:cs="仿宋_GB2312"/>
                <w:b/>
                <w:color w:val="000000"/>
                <w:sz w:val="24"/>
                <w:highlight w:val="none"/>
              </w:rPr>
              <w:t>反馈人/反馈单位</w:t>
            </w:r>
          </w:p>
        </w:tc>
        <w:tc>
          <w:tcPr>
            <w:tcW w:w="7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16A66">
            <w:pPr>
              <w:widowControl/>
              <w:jc w:val="center"/>
              <w:textAlignment w:val="center"/>
              <w:rPr>
                <w:rFonts w:ascii="仿宋_GB2312" w:hAnsi="仿宋_GB2312" w:eastAsia="仿宋_GB2312" w:cs="仿宋_GB2312"/>
                <w:b/>
                <w:color w:val="000000"/>
                <w:sz w:val="24"/>
                <w:highlight w:val="none"/>
              </w:rPr>
            </w:pPr>
            <w:r>
              <w:rPr>
                <w:rFonts w:hint="eastAsia" w:ascii="仿宋_GB2312" w:hAnsi="仿宋_GB2312" w:eastAsia="仿宋_GB2312" w:cs="仿宋_GB2312"/>
                <w:b/>
                <w:color w:val="000000"/>
                <w:kern w:val="0"/>
                <w:sz w:val="24"/>
                <w:highlight w:val="none"/>
                <w:lang w:bidi="ar"/>
              </w:rPr>
              <w:t>反馈意见</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83041">
            <w:pPr>
              <w:widowControl/>
              <w:jc w:val="center"/>
              <w:textAlignment w:val="center"/>
              <w:rPr>
                <w:rFonts w:ascii="仿宋_GB2312" w:hAnsi="仿宋_GB2312" w:eastAsia="仿宋_GB2312" w:cs="仿宋_GB2312"/>
                <w:b/>
                <w:color w:val="000000"/>
                <w:kern w:val="0"/>
                <w:sz w:val="32"/>
                <w:szCs w:val="32"/>
                <w:highlight w:val="none"/>
                <w:lang w:bidi="ar"/>
              </w:rPr>
            </w:pPr>
            <w:r>
              <w:rPr>
                <w:rFonts w:hint="eastAsia" w:ascii="仿宋_GB2312" w:hAnsi="仿宋_GB2312" w:eastAsia="仿宋_GB2312" w:cs="仿宋_GB2312"/>
                <w:b/>
                <w:color w:val="000000"/>
                <w:kern w:val="0"/>
                <w:sz w:val="24"/>
                <w:highlight w:val="none"/>
                <w:lang w:bidi="ar"/>
              </w:rPr>
              <w:t>处理情况</w:t>
            </w:r>
          </w:p>
        </w:tc>
      </w:tr>
      <w:tr w14:paraId="1BFD177F">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04750">
            <w:pPr>
              <w:widowControl/>
              <w:jc w:val="center"/>
              <w:textAlignment w:val="center"/>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1</w:t>
            </w:r>
          </w:p>
        </w:tc>
        <w:tc>
          <w:tcPr>
            <w:tcW w:w="2318" w:type="dxa"/>
            <w:tcBorders>
              <w:top w:val="single" w:color="000000" w:sz="4" w:space="0"/>
              <w:left w:val="single" w:color="000000" w:sz="4" w:space="0"/>
              <w:bottom w:val="single" w:color="auto" w:sz="4" w:space="0"/>
              <w:right w:val="single" w:color="000000" w:sz="4" w:space="0"/>
            </w:tcBorders>
            <w:shd w:val="clear" w:color="auto" w:fill="auto"/>
            <w:vAlign w:val="center"/>
          </w:tcPr>
          <w:p w14:paraId="7AA0C9E5">
            <w:pPr>
              <w:spacing w:line="240" w:lineRule="atLeast"/>
              <w:jc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13610143989</w:t>
            </w:r>
          </w:p>
        </w:tc>
        <w:tc>
          <w:tcPr>
            <w:tcW w:w="7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7804E">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建议“措施”第“（三）消防设施”部分，补充对住宅应急照明如何设置双电源切换箱及应急照明电源箱做明确规定，为设计院及审查单位提供明确的指引。</w:t>
            </w:r>
          </w:p>
          <w:p w14:paraId="7F997A12">
            <w:pPr>
              <w:spacing w:line="240" w:lineRule="atLeast"/>
              <w:jc w:val="left"/>
              <w:rPr>
                <w:rFonts w:hint="default"/>
                <w:lang w:val="en-US" w:eastAsia="zh-CN"/>
              </w:rPr>
            </w:pPr>
            <w:r>
              <w:rPr>
                <w:rFonts w:hint="eastAsia" w:ascii="仿宋_GB2312" w:hAnsi="仿宋_GB2312" w:eastAsia="仿宋_GB2312" w:cs="仿宋_GB2312"/>
                <w:b/>
                <w:bCs/>
                <w:color w:val="000000"/>
                <w:kern w:val="0"/>
                <w:sz w:val="24"/>
                <w:highlight w:val="none"/>
                <w:lang w:eastAsia="zh-CN" w:bidi="ar"/>
              </w:rPr>
              <w:t>理由：</w:t>
            </w:r>
            <w:r>
              <w:rPr>
                <w:rFonts w:hint="eastAsia" w:ascii="仿宋_GB2312" w:hAnsi="仿宋_GB2312" w:eastAsia="仿宋_GB2312" w:cs="仿宋_GB2312"/>
                <w:b w:val="0"/>
                <w:bCs w:val="0"/>
                <w:color w:val="000000"/>
                <w:kern w:val="0"/>
                <w:sz w:val="24"/>
                <w:highlight w:val="none"/>
                <w:lang w:eastAsia="zh-CN" w:bidi="ar"/>
              </w:rPr>
              <w:t>根据《建筑防火通用规范》10.1.6规定：“……消防应急照明和疏散指示标志等的供电，应在所在防火分区的配电箱内设置自动切换装置”。对于住宅建筑，建筑专业没有明确去定义防火分区，电气专业对于住宅建筑如何设置双电源切换箱争议比较大。</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A8A85">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auto"/>
                <w:kern w:val="0"/>
                <w:sz w:val="24"/>
                <w:highlight w:val="none"/>
                <w:lang w:val="en-US" w:eastAsia="zh-CN" w:bidi="ar"/>
              </w:rPr>
              <w:t>采纳。</w:t>
            </w:r>
          </w:p>
        </w:tc>
      </w:tr>
      <w:tr w14:paraId="3038AA0F">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auto" w:sz="4" w:space="0"/>
            </w:tcBorders>
            <w:shd w:val="clear" w:color="auto" w:fill="auto"/>
            <w:vAlign w:val="center"/>
          </w:tcPr>
          <w:p w14:paraId="7FB70791">
            <w:pPr>
              <w:widowControl/>
              <w:jc w:val="center"/>
              <w:textAlignment w:val="center"/>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2</w:t>
            </w:r>
          </w:p>
        </w:tc>
        <w:tc>
          <w:tcPr>
            <w:tcW w:w="2318" w:type="dxa"/>
            <w:tcBorders>
              <w:top w:val="single" w:color="auto" w:sz="4" w:space="0"/>
              <w:left w:val="single" w:color="auto" w:sz="4" w:space="0"/>
              <w:bottom w:val="single" w:color="auto" w:sz="4" w:space="0"/>
              <w:right w:val="single" w:color="auto" w:sz="4" w:space="0"/>
            </w:tcBorders>
            <w:shd w:val="clear" w:color="auto" w:fill="auto"/>
            <w:vAlign w:val="center"/>
          </w:tcPr>
          <w:p w14:paraId="110C70A1">
            <w:pPr>
              <w:spacing w:line="240" w:lineRule="atLeast"/>
              <w:jc w:val="center"/>
              <w:rPr>
                <w:rFonts w:hint="default" w:ascii="仿宋_GB2312" w:hAnsi="仿宋_GB2312" w:eastAsia="仿宋_GB2312" w:cs="仿宋_GB2312"/>
                <w:color w:val="000000"/>
                <w:kern w:val="0"/>
                <w:sz w:val="24"/>
                <w:highlight w:val="none"/>
                <w:lang w:val="en-US" w:bidi="ar"/>
              </w:rPr>
            </w:pPr>
            <w:r>
              <w:rPr>
                <w:rFonts w:hint="eastAsia" w:ascii="仿宋_GB2312" w:hAnsi="仿宋_GB2312" w:eastAsia="仿宋_GB2312" w:cs="仿宋_GB2312"/>
                <w:i w:val="0"/>
                <w:color w:val="000000"/>
                <w:kern w:val="0"/>
                <w:sz w:val="24"/>
                <w:szCs w:val="24"/>
                <w:highlight w:val="none"/>
                <w:u w:val="none"/>
                <w:lang w:val="en-US" w:eastAsia="zh-CN" w:bidi="ar"/>
              </w:rPr>
              <w:t>13710465630</w:t>
            </w:r>
          </w:p>
        </w:tc>
        <w:tc>
          <w:tcPr>
            <w:tcW w:w="7746" w:type="dxa"/>
            <w:tcBorders>
              <w:top w:val="single" w:color="000000" w:sz="4" w:space="0"/>
              <w:left w:val="single" w:color="auto" w:sz="4" w:space="0"/>
              <w:bottom w:val="single" w:color="000000" w:sz="4" w:space="0"/>
              <w:right w:val="single" w:color="000000" w:sz="4" w:space="0"/>
            </w:tcBorders>
            <w:shd w:val="clear" w:color="auto" w:fill="auto"/>
            <w:vAlign w:val="center"/>
          </w:tcPr>
          <w:p w14:paraId="180951E4">
            <w:pPr>
              <w:spacing w:line="240" w:lineRule="atLeast"/>
              <w:jc w:val="left"/>
              <w:rPr>
                <w:rFonts w:hint="eastAsia"/>
                <w:highlight w:val="none"/>
                <w:lang w:eastAsia="zh-CN"/>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《广州市建设工程消防设计审查工作指引》有过渡期的约定，而且过渡期是到2025年12月31日，第二条第（一）款第4点是否明确采取该文的补强措施？“</w:t>
            </w:r>
            <w:r>
              <w:rPr>
                <w:rFonts w:hint="eastAsia" w:ascii="仿宋_GB2312" w:hAnsi="仿宋_GB2312" w:eastAsia="仿宋_GB2312" w:cs="仿宋_GB2312"/>
                <w:b w:val="0"/>
                <w:bCs w:val="0"/>
                <w:color w:val="000000"/>
                <w:kern w:val="0"/>
                <w:sz w:val="24"/>
                <w:highlight w:val="none"/>
                <w:lang w:val="en-US" w:eastAsia="zh-CN" w:bidi="ar"/>
              </w:rPr>
              <w:t>......</w:t>
            </w:r>
            <w:r>
              <w:rPr>
                <w:rFonts w:hint="eastAsia" w:ascii="仿宋_GB2312" w:hAnsi="仿宋_GB2312" w:eastAsia="仿宋_GB2312" w:cs="仿宋_GB2312"/>
                <w:b w:val="0"/>
                <w:bCs w:val="0"/>
                <w:color w:val="000000"/>
                <w:kern w:val="0"/>
                <w:sz w:val="24"/>
                <w:highlight w:val="none"/>
                <w:lang w:eastAsia="zh-CN" w:bidi="ar"/>
              </w:rPr>
              <w:t>按照《广州市建设工程消防设计审查工作指引》补强措施执行。”</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65A97">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000000"/>
                <w:kern w:val="0"/>
                <w:sz w:val="24"/>
                <w:highlight w:val="none"/>
                <w:lang w:eastAsia="zh-CN" w:bidi="ar"/>
              </w:rPr>
              <w:t>采纳。</w:t>
            </w:r>
          </w:p>
        </w:tc>
      </w:tr>
      <w:tr w14:paraId="7B37A7D4">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auto" w:sz="4" w:space="0"/>
            </w:tcBorders>
            <w:shd w:val="clear" w:color="auto" w:fill="auto"/>
            <w:vAlign w:val="center"/>
          </w:tcPr>
          <w:p w14:paraId="22381B29">
            <w:pPr>
              <w:widowControl/>
              <w:jc w:val="center"/>
              <w:textAlignment w:val="center"/>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3</w:t>
            </w:r>
          </w:p>
        </w:tc>
        <w:tc>
          <w:tcPr>
            <w:tcW w:w="2318" w:type="dxa"/>
            <w:tcBorders>
              <w:top w:val="single" w:color="auto" w:sz="4" w:space="0"/>
              <w:left w:val="single" w:color="auto" w:sz="4" w:space="0"/>
              <w:bottom w:val="single" w:color="auto" w:sz="4" w:space="0"/>
              <w:right w:val="single" w:color="auto" w:sz="4" w:space="0"/>
            </w:tcBorders>
            <w:shd w:val="clear" w:color="auto" w:fill="auto"/>
            <w:vAlign w:val="center"/>
          </w:tcPr>
          <w:p w14:paraId="36480576">
            <w:pPr>
              <w:spacing w:line="240" w:lineRule="atLeast"/>
              <w:jc w:val="center"/>
              <w:rPr>
                <w:rFonts w:hint="default" w:ascii="仿宋_GB2312" w:hAnsi="仿宋_GB2312" w:eastAsia="仿宋_GB2312" w:cs="仿宋_GB2312"/>
                <w:color w:val="000000"/>
                <w:kern w:val="0"/>
                <w:sz w:val="24"/>
                <w:highlight w:val="none"/>
                <w:lang w:val="en-US" w:bidi="ar"/>
              </w:rPr>
            </w:pPr>
            <w:r>
              <w:rPr>
                <w:rFonts w:hint="default" w:ascii="仿宋_GB2312" w:hAnsi="仿宋_GB2312" w:eastAsia="仿宋_GB2312" w:cs="仿宋_GB2312"/>
                <w:color w:val="000000"/>
                <w:kern w:val="0"/>
                <w:sz w:val="24"/>
                <w:highlight w:val="none"/>
                <w:lang w:val="en-US" w:bidi="ar"/>
              </w:rPr>
              <w:t>56713831@qq.com</w:t>
            </w:r>
          </w:p>
        </w:tc>
        <w:tc>
          <w:tcPr>
            <w:tcW w:w="7746" w:type="dxa"/>
            <w:tcBorders>
              <w:top w:val="single" w:color="000000" w:sz="4" w:space="0"/>
              <w:left w:val="single" w:color="auto" w:sz="4" w:space="0"/>
              <w:bottom w:val="single" w:color="000000" w:sz="4" w:space="0"/>
              <w:right w:val="single" w:color="000000" w:sz="4" w:space="0"/>
            </w:tcBorders>
            <w:shd w:val="clear" w:color="auto" w:fill="auto"/>
            <w:vAlign w:val="center"/>
          </w:tcPr>
          <w:p w14:paraId="3DB4E2E0">
            <w:pPr>
              <w:spacing w:line="240" w:lineRule="atLeast"/>
              <w:jc w:val="left"/>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设置转输水箱时，转输水泵出口管道的工作压力应考虑水泵零流量时的压力。建议增加适用条件：在设置了浮球阀等可能出现零流量时。</w:t>
            </w:r>
          </w:p>
          <w:p w14:paraId="51AED246">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理由：</w:t>
            </w:r>
            <w:r>
              <w:rPr>
                <w:rFonts w:hint="eastAsia" w:ascii="仿宋_GB2312" w:hAnsi="仿宋_GB2312" w:eastAsia="仿宋_GB2312" w:cs="仿宋_GB2312"/>
                <w:b w:val="0"/>
                <w:bCs w:val="0"/>
                <w:color w:val="000000"/>
                <w:kern w:val="0"/>
                <w:sz w:val="24"/>
                <w:highlight w:val="none"/>
                <w:lang w:eastAsia="zh-CN" w:bidi="ar"/>
              </w:rPr>
              <w:t>现行标准只有临时高压系统才可能出现水泵零流量需要考虑零流量时压力。对于转输消防系统，可以通过溢流方式不设浮球阀不会出现水泵零流量。如全部要求考虑零流量时压力会导致大量项目需要将转输水箱下移而无法设置在天面，对住宅用户使用产生很大影响，也会减少满足重力供水压力楼层反而对消防更不利。</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CD3A6">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auto"/>
                <w:kern w:val="0"/>
                <w:sz w:val="24"/>
                <w:highlight w:val="none"/>
                <w:lang w:val="en-US" w:eastAsia="zh-CN" w:bidi="ar"/>
              </w:rPr>
              <w:t>解释说明。在《住宅项目规范》（GB 55038-2025）实施之前，已签订设计合同的超高层住宅项目还应满足以下要求：在采用转输水箱分区时，工作压力应为转输水泵零流量时的压力加水泵吸水口处的静压。</w:t>
            </w:r>
          </w:p>
        </w:tc>
      </w:tr>
      <w:tr w14:paraId="41B89E13">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F9EDA">
            <w:pPr>
              <w:widowControl/>
              <w:jc w:val="center"/>
              <w:textAlignment w:val="center"/>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4</w:t>
            </w:r>
          </w:p>
        </w:tc>
        <w:tc>
          <w:tcPr>
            <w:tcW w:w="2318" w:type="dxa"/>
            <w:vMerge w:val="restart"/>
            <w:tcBorders>
              <w:top w:val="single" w:color="auto" w:sz="4" w:space="0"/>
              <w:left w:val="single" w:color="000000" w:sz="4" w:space="0"/>
              <w:right w:val="single" w:color="000000" w:sz="4" w:space="0"/>
            </w:tcBorders>
            <w:shd w:val="clear" w:color="auto" w:fill="auto"/>
            <w:vAlign w:val="center"/>
          </w:tcPr>
          <w:p w14:paraId="3EFA169B">
            <w:pPr>
              <w:spacing w:line="240" w:lineRule="atLeast"/>
              <w:jc w:val="center"/>
              <w:rPr>
                <w:rFonts w:hint="default" w:ascii="仿宋_GB2312" w:hAnsi="仿宋_GB2312" w:eastAsia="仿宋_GB2312" w:cs="仿宋_GB2312"/>
                <w:color w:val="000000"/>
                <w:kern w:val="0"/>
                <w:sz w:val="24"/>
                <w:highlight w:val="none"/>
                <w:lang w:val="en-US" w:bidi="ar"/>
              </w:rPr>
            </w:pPr>
            <w:r>
              <w:rPr>
                <w:rFonts w:hint="default" w:ascii="仿宋_GB2312" w:hAnsi="仿宋_GB2312" w:eastAsia="仿宋_GB2312" w:cs="仿宋_GB2312"/>
                <w:color w:val="000000"/>
                <w:kern w:val="0"/>
                <w:sz w:val="24"/>
                <w:highlight w:val="none"/>
                <w:lang w:val="en-US" w:bidi="ar"/>
              </w:rPr>
              <w:t>15915742414</w:t>
            </w:r>
          </w:p>
        </w:tc>
        <w:tc>
          <w:tcPr>
            <w:tcW w:w="7746" w:type="dxa"/>
            <w:tcBorders>
              <w:top w:val="single" w:color="000000" w:sz="4" w:space="0"/>
              <w:left w:val="single" w:color="000000" w:sz="4" w:space="0"/>
              <w:bottom w:val="single" w:color="auto" w:sz="4" w:space="0"/>
              <w:right w:val="single" w:color="000000" w:sz="4" w:space="0"/>
            </w:tcBorders>
            <w:shd w:val="clear" w:color="auto" w:fill="auto"/>
            <w:vAlign w:val="center"/>
          </w:tcPr>
          <w:p w14:paraId="44BF8711">
            <w:pPr>
              <w:spacing w:line="240" w:lineRule="atLeast"/>
              <w:jc w:val="left"/>
              <w:rPr>
                <w:rFonts w:hint="eastAsia"/>
                <w:highlight w:val="none"/>
                <w:lang w:eastAsia="zh-CN"/>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对第二、（四）项有关“转输水泵”部分，个人理解如下：1）对于专供水池的转输水泵系统，当通过水位自动控制水泵启停（消防信号下不再自动停泵），采用单管单池供水（水池分两个时）或双管单池供水，无需在水池进水管设置自动阀门的，系统视为开式，可不考虑水泵零流量问题，但应考虑防止水锤措施。2）当水池进水设置电动阀等自动阀门的，该系统管道阀门公称压力选型应考虑水泵零流量超压问题，但或许可不考虑最大不超2.4Mpa的限制。</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AAF32">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auto"/>
                <w:kern w:val="0"/>
                <w:sz w:val="24"/>
                <w:highlight w:val="none"/>
                <w:lang w:val="en-US" w:eastAsia="zh-CN" w:bidi="ar"/>
              </w:rPr>
              <w:t>解释说明，在《住宅项目规范》（GB 55038-2025）实施之前，已签订设计合同的超高层住宅项目还应满足以下要求：在采用转输水箱分区时，工作压力应为转输水泵零流量时的压力加水泵吸水口处的静压。</w:t>
            </w:r>
          </w:p>
        </w:tc>
      </w:tr>
      <w:tr w14:paraId="3EABC93C">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auto" w:sz="4" w:space="0"/>
            </w:tcBorders>
            <w:shd w:val="clear" w:color="auto" w:fill="auto"/>
            <w:vAlign w:val="center"/>
          </w:tcPr>
          <w:p w14:paraId="45B2BE7B">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5</w:t>
            </w:r>
          </w:p>
        </w:tc>
        <w:tc>
          <w:tcPr>
            <w:tcW w:w="2318" w:type="dxa"/>
            <w:vMerge w:val="continue"/>
            <w:tcBorders>
              <w:left w:val="single" w:color="000000" w:sz="4" w:space="0"/>
              <w:bottom w:val="single" w:color="auto" w:sz="4" w:space="0"/>
              <w:right w:val="single" w:color="000000" w:sz="4" w:space="0"/>
            </w:tcBorders>
            <w:shd w:val="clear" w:color="auto" w:fill="auto"/>
            <w:vAlign w:val="center"/>
          </w:tcPr>
          <w:p w14:paraId="0650DAB6">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7DD1B499">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鼓励性措施增加：对于高层住宅，宜在电梯厅、走道公区设置简易喷淋，可从室内消火栓系统供水，喷淋用水可不计入消防水池水量，消防泵流量。</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46FC0362">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b w:val="0"/>
                <w:bCs w:val="0"/>
                <w:color w:val="000000"/>
                <w:kern w:val="0"/>
                <w:sz w:val="24"/>
                <w:highlight w:val="none"/>
                <w:lang w:eastAsia="zh-CN" w:bidi="ar"/>
              </w:rPr>
              <w:t>不采纳。本文已提出若干鼓励措施，且不具有强制性，不在本文过多罗列。</w:t>
            </w:r>
          </w:p>
        </w:tc>
      </w:tr>
      <w:tr w14:paraId="49641EC3">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auto" w:sz="4" w:space="0"/>
            </w:tcBorders>
            <w:shd w:val="clear" w:color="auto" w:fill="auto"/>
            <w:vAlign w:val="center"/>
          </w:tcPr>
          <w:p w14:paraId="0BEE105E">
            <w:pPr>
              <w:widowControl/>
              <w:jc w:val="center"/>
              <w:textAlignment w:val="center"/>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6</w:t>
            </w:r>
          </w:p>
        </w:tc>
        <w:tc>
          <w:tcPr>
            <w:tcW w:w="2318" w:type="dxa"/>
            <w:tcBorders>
              <w:top w:val="single" w:color="auto" w:sz="4" w:space="0"/>
              <w:left w:val="single" w:color="auto" w:sz="4" w:space="0"/>
              <w:bottom w:val="single" w:color="auto" w:sz="4" w:space="0"/>
              <w:right w:val="single" w:color="auto" w:sz="4" w:space="0"/>
            </w:tcBorders>
            <w:shd w:val="clear" w:color="auto" w:fill="auto"/>
            <w:vAlign w:val="center"/>
          </w:tcPr>
          <w:p w14:paraId="18483EA1">
            <w:pPr>
              <w:spacing w:line="240" w:lineRule="atLeast"/>
              <w:jc w:val="center"/>
              <w:rPr>
                <w:rFonts w:hint="default" w:ascii="仿宋_GB2312" w:hAnsi="仿宋_GB2312" w:eastAsia="仿宋_GB2312" w:cs="仿宋_GB2312"/>
                <w:color w:val="000000"/>
                <w:kern w:val="0"/>
                <w:sz w:val="24"/>
                <w:highlight w:val="none"/>
                <w:lang w:val="en-US" w:bidi="ar"/>
              </w:rPr>
            </w:pPr>
            <w:r>
              <w:rPr>
                <w:rFonts w:hint="default" w:ascii="仿宋_GB2312" w:hAnsi="仿宋_GB2312" w:eastAsia="仿宋_GB2312" w:cs="仿宋_GB2312"/>
                <w:color w:val="000000"/>
                <w:kern w:val="0"/>
                <w:sz w:val="24"/>
                <w:highlight w:val="none"/>
                <w:lang w:val="en-US" w:bidi="ar"/>
              </w:rPr>
              <w:t>13719053861</w:t>
            </w: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5D0FD40E">
            <w:pPr>
              <w:spacing w:line="240" w:lineRule="atLeast"/>
              <w:jc w:val="left"/>
              <w:rPr>
                <w:rFonts w:hint="eastAsia" w:ascii="仿宋_GB2312" w:hAnsi="仿宋_GB2312" w:eastAsia="仿宋_GB2312" w:cs="仿宋_GB2312"/>
                <w:b w:val="0"/>
                <w:bCs w:val="0"/>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转输水泵出口管道的工作压力不应考虑水泵零流量时的压力。</w:t>
            </w:r>
          </w:p>
          <w:p w14:paraId="63D7995A">
            <w:pPr>
              <w:spacing w:line="240" w:lineRule="atLeast"/>
              <w:jc w:val="left"/>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理由：</w:t>
            </w:r>
            <w:r>
              <w:rPr>
                <w:rFonts w:hint="eastAsia" w:ascii="仿宋_GB2312" w:hAnsi="仿宋_GB2312" w:eastAsia="仿宋_GB2312" w:cs="仿宋_GB2312"/>
                <w:b w:val="0"/>
                <w:bCs w:val="0"/>
                <w:color w:val="000000"/>
                <w:kern w:val="0"/>
                <w:sz w:val="24"/>
                <w:highlight w:val="none"/>
                <w:lang w:eastAsia="zh-CN" w:bidi="ar"/>
              </w:rPr>
              <w:t>因为转输水泵出水管是开式，不会设置自动控制阀门，启泵即有流量，全过程不存在0流量。</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55B6A76D">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auto"/>
                <w:kern w:val="0"/>
                <w:sz w:val="24"/>
                <w:highlight w:val="none"/>
                <w:lang w:val="en-US" w:eastAsia="zh-CN" w:bidi="ar"/>
              </w:rPr>
              <w:t>解释说明。在《住宅项目规范》（GB 55038-2025）实施之前，已签订设计合同的超高层住宅项目还应满足以下要求：在采用转输水箱分区时，工作压力应为转输水泵零流量时的压力加水泵吸水口处的静压。</w:t>
            </w:r>
          </w:p>
        </w:tc>
      </w:tr>
      <w:tr w14:paraId="6E8F5D67">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auto" w:sz="4" w:space="0"/>
            </w:tcBorders>
            <w:shd w:val="clear" w:color="auto" w:fill="auto"/>
            <w:vAlign w:val="center"/>
          </w:tcPr>
          <w:p w14:paraId="15BE4122">
            <w:pPr>
              <w:widowControl/>
              <w:jc w:val="center"/>
              <w:textAlignment w:val="center"/>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7</w:t>
            </w:r>
          </w:p>
        </w:tc>
        <w:tc>
          <w:tcPr>
            <w:tcW w:w="2318" w:type="dxa"/>
            <w:vMerge w:val="restart"/>
            <w:tcBorders>
              <w:top w:val="single" w:color="auto" w:sz="4" w:space="0"/>
              <w:left w:val="single" w:color="auto" w:sz="4" w:space="0"/>
              <w:right w:val="single" w:color="auto" w:sz="4" w:space="0"/>
            </w:tcBorders>
            <w:shd w:val="clear" w:color="auto" w:fill="auto"/>
            <w:vAlign w:val="center"/>
          </w:tcPr>
          <w:p w14:paraId="1EB5D3F8">
            <w:pPr>
              <w:spacing w:line="240" w:lineRule="atLeast"/>
              <w:jc w:val="center"/>
              <w:rPr>
                <w:rFonts w:hint="default" w:ascii="仿宋_GB2312" w:hAnsi="仿宋_GB2312" w:eastAsia="仿宋_GB2312" w:cs="仿宋_GB2312"/>
                <w:color w:val="000000"/>
                <w:kern w:val="0"/>
                <w:sz w:val="24"/>
                <w:highlight w:val="none"/>
                <w:lang w:val="en-US" w:bidi="ar"/>
              </w:rPr>
            </w:pPr>
            <w:r>
              <w:rPr>
                <w:rFonts w:hint="default" w:ascii="仿宋_GB2312" w:hAnsi="仿宋_GB2312" w:eastAsia="仿宋_GB2312" w:cs="仿宋_GB2312"/>
                <w:color w:val="000000"/>
                <w:kern w:val="0"/>
                <w:sz w:val="24"/>
                <w:highlight w:val="none"/>
                <w:lang w:val="en-US" w:bidi="ar"/>
              </w:rPr>
              <w:t>15915716469</w:t>
            </w: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3EFD80B5">
            <w:pPr>
              <w:spacing w:line="240" w:lineRule="atLeast"/>
              <w:jc w:val="left"/>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建议明确第一点第5条：“当地下室占地面积不大于5000平方米时，”是否意味着对建筑面积、层数没有限制，仅限制占地面积？</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6F4A4EE4">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000000"/>
                <w:kern w:val="0"/>
                <w:sz w:val="24"/>
                <w:highlight w:val="none"/>
                <w:lang w:val="en-US" w:eastAsia="zh-CN" w:bidi="ar"/>
              </w:rPr>
              <w:t>解释说明。对建筑面积、层数没有限制。</w:t>
            </w:r>
          </w:p>
        </w:tc>
      </w:tr>
      <w:tr w14:paraId="555C915D">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auto" w:sz="4" w:space="0"/>
            </w:tcBorders>
            <w:shd w:val="clear" w:color="auto" w:fill="auto"/>
            <w:vAlign w:val="center"/>
          </w:tcPr>
          <w:p w14:paraId="55433F2E">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8</w:t>
            </w:r>
          </w:p>
        </w:tc>
        <w:tc>
          <w:tcPr>
            <w:tcW w:w="2318" w:type="dxa"/>
            <w:vMerge w:val="continue"/>
            <w:tcBorders>
              <w:left w:val="single" w:color="auto" w:sz="4" w:space="0"/>
              <w:right w:val="single" w:color="auto" w:sz="4" w:space="0"/>
            </w:tcBorders>
            <w:shd w:val="clear" w:color="auto" w:fill="auto"/>
            <w:vAlign w:val="center"/>
          </w:tcPr>
          <w:p w14:paraId="4F2D8D87">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7DF76C06">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建议明确“走道两侧或扩大前室内不应设置电房门。”电房门是否包含强弱电井道门？</w:t>
            </w:r>
            <w:r>
              <w:rPr>
                <w:rFonts w:hint="eastAsia" w:ascii="仿宋_GB2312" w:hAnsi="仿宋_GB2312" w:eastAsia="仿宋_GB2312" w:cs="仿宋_GB2312"/>
                <w:b w:val="0"/>
                <w:bCs w:val="0"/>
                <w:color w:val="000000"/>
                <w:kern w:val="0"/>
                <w:sz w:val="24"/>
                <w:highlight w:val="none"/>
                <w:lang w:bidi="ar"/>
              </w:rPr>
              <w:t>。</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14C41F79">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000000"/>
                <w:kern w:val="0"/>
                <w:sz w:val="24"/>
                <w:highlight w:val="none"/>
                <w:lang w:val="en-US" w:eastAsia="zh-CN" w:bidi="ar"/>
              </w:rPr>
              <w:t>解释说明。电房门包括强电井门。</w:t>
            </w:r>
          </w:p>
        </w:tc>
      </w:tr>
      <w:tr w14:paraId="06EBFFB4">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auto" w:sz="4" w:space="0"/>
            </w:tcBorders>
            <w:shd w:val="clear" w:color="auto" w:fill="auto"/>
            <w:vAlign w:val="center"/>
          </w:tcPr>
          <w:p w14:paraId="52A18F8B">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9</w:t>
            </w:r>
          </w:p>
        </w:tc>
        <w:tc>
          <w:tcPr>
            <w:tcW w:w="2318" w:type="dxa"/>
            <w:vMerge w:val="continue"/>
            <w:tcBorders>
              <w:left w:val="single" w:color="auto" w:sz="4" w:space="0"/>
              <w:bottom w:val="single" w:color="auto" w:sz="4" w:space="0"/>
              <w:right w:val="single" w:color="auto" w:sz="4" w:space="0"/>
            </w:tcBorders>
            <w:shd w:val="clear" w:color="auto" w:fill="auto"/>
            <w:vAlign w:val="center"/>
          </w:tcPr>
          <w:p w14:paraId="4F24E407">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7F454B80">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《建筑防火通用规范》GB 55037-2022中提到“3.4.6 高层建筑应至少沿其一条长边设置消防车登高操作场地。”当前住宅审图有点模糊，部分审图单位认为需要对应长边设置场地，部分认为长度满足一个长边，不对应也可行。建议明确</w:t>
            </w:r>
            <w:r>
              <w:rPr>
                <w:rFonts w:hint="eastAsia" w:ascii="仿宋_GB2312" w:hAnsi="仿宋_GB2312" w:eastAsia="仿宋_GB2312" w:cs="仿宋_GB2312"/>
                <w:b w:val="0"/>
                <w:bCs w:val="0"/>
                <w:color w:val="000000"/>
                <w:kern w:val="0"/>
                <w:sz w:val="24"/>
                <w:highlight w:val="none"/>
                <w:lang w:bidi="ar"/>
              </w:rPr>
              <w:t>。</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628DE844">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000000"/>
                <w:kern w:val="0"/>
                <w:sz w:val="24"/>
                <w:highlight w:val="none"/>
                <w:lang w:val="en-US" w:eastAsia="zh-CN" w:bidi="ar"/>
              </w:rPr>
              <w:t>解释说明。</w:t>
            </w:r>
            <w:r>
              <w:rPr>
                <w:rFonts w:hint="eastAsia" w:ascii="仿宋_GB2312" w:hAnsi="仿宋_GB2312" w:eastAsia="仿宋_GB2312" w:cs="仿宋_GB2312"/>
                <w:b w:val="0"/>
                <w:bCs w:val="0"/>
                <w:color w:val="000000"/>
                <w:kern w:val="0"/>
                <w:sz w:val="24"/>
                <w:highlight w:val="none"/>
                <w:lang w:eastAsia="zh-CN" w:bidi="ar"/>
              </w:rPr>
              <w:t>需要对应长边设置</w:t>
            </w:r>
            <w:r>
              <w:rPr>
                <w:rFonts w:hint="eastAsia" w:ascii="仿宋_GB2312" w:hAnsi="仿宋_GB2312" w:eastAsia="仿宋_GB2312" w:cs="仿宋_GB2312"/>
                <w:b w:val="0"/>
                <w:bCs w:val="0"/>
                <w:color w:val="000000"/>
                <w:kern w:val="0"/>
                <w:sz w:val="24"/>
                <w:highlight w:val="none"/>
                <w:lang w:val="en-US" w:eastAsia="zh-CN" w:bidi="ar"/>
              </w:rPr>
              <w:t>消防车登高操作场地；当</w:t>
            </w:r>
            <w:r>
              <w:rPr>
                <w:rFonts w:hint="eastAsia" w:ascii="仿宋_GB2312" w:hAnsi="仿宋_GB2312" w:eastAsia="仿宋_GB2312" w:cs="仿宋_GB2312"/>
                <w:b w:val="0"/>
                <w:bCs w:val="0"/>
                <w:color w:val="000000"/>
                <w:kern w:val="0"/>
                <w:sz w:val="24"/>
                <w:highlight w:val="none"/>
                <w:lang w:eastAsia="zh-CN" w:bidi="ar"/>
              </w:rPr>
              <w:t>场地</w:t>
            </w:r>
            <w:r>
              <w:rPr>
                <w:rFonts w:hint="eastAsia" w:ascii="仿宋_GB2312" w:hAnsi="仿宋_GB2312" w:eastAsia="仿宋_GB2312" w:cs="仿宋_GB2312"/>
                <w:b w:val="0"/>
                <w:bCs w:val="0"/>
                <w:color w:val="000000"/>
                <w:kern w:val="0"/>
                <w:sz w:val="24"/>
                <w:highlight w:val="none"/>
                <w:lang w:val="en-US" w:eastAsia="zh-CN" w:bidi="ar"/>
              </w:rPr>
              <w:t>无法确定长边时按省答疑“满足周边长度的 1／4 且能进入每个住宅单元不少于一半的户数进行扑救的原则布置”执行。</w:t>
            </w:r>
          </w:p>
        </w:tc>
      </w:tr>
      <w:tr w14:paraId="1828DA4C">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auto" w:sz="4" w:space="0"/>
            </w:tcBorders>
            <w:shd w:val="clear" w:color="auto" w:fill="auto"/>
            <w:vAlign w:val="center"/>
          </w:tcPr>
          <w:p w14:paraId="51FF09C4">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10</w:t>
            </w:r>
          </w:p>
        </w:tc>
        <w:tc>
          <w:tcPr>
            <w:tcW w:w="2318" w:type="dxa"/>
            <w:tcBorders>
              <w:top w:val="single" w:color="auto" w:sz="4" w:space="0"/>
              <w:left w:val="single" w:color="auto" w:sz="4" w:space="0"/>
              <w:bottom w:val="single" w:color="auto" w:sz="4" w:space="0"/>
              <w:right w:val="single" w:color="auto" w:sz="4" w:space="0"/>
            </w:tcBorders>
            <w:shd w:val="clear" w:color="auto" w:fill="auto"/>
            <w:vAlign w:val="center"/>
          </w:tcPr>
          <w:p w14:paraId="19C2D698">
            <w:pPr>
              <w:spacing w:line="240" w:lineRule="atLeast"/>
              <w:jc w:val="center"/>
              <w:rPr>
                <w:rFonts w:hint="default" w:ascii="仿宋_GB2312" w:hAnsi="仿宋_GB2312" w:eastAsia="仿宋_GB2312" w:cs="仿宋_GB2312"/>
                <w:color w:val="000000"/>
                <w:kern w:val="0"/>
                <w:sz w:val="24"/>
                <w:highlight w:val="none"/>
                <w:lang w:val="en-US" w:bidi="ar"/>
              </w:rPr>
            </w:pPr>
            <w:r>
              <w:rPr>
                <w:rFonts w:hint="default" w:ascii="仿宋_GB2312" w:hAnsi="仿宋_GB2312" w:eastAsia="仿宋_GB2312" w:cs="仿宋_GB2312"/>
                <w:color w:val="000000"/>
                <w:kern w:val="0"/>
                <w:sz w:val="24"/>
                <w:highlight w:val="none"/>
                <w:lang w:val="en-US" w:bidi="ar"/>
              </w:rPr>
              <w:t xml:space="preserve">aha_yuan@qq.com  </w:t>
            </w: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42C484C1">
            <w:pPr>
              <w:spacing w:line="240" w:lineRule="atLeast"/>
              <w:jc w:val="left"/>
              <w:rPr>
                <w:rFonts w:hint="eastAsia" w:ascii="仿宋_GB2312" w:hAnsi="仿宋_GB2312" w:eastAsia="仿宋_GB2312" w:cs="仿宋_GB2312"/>
                <w:b w:val="0"/>
                <w:bCs w:val="0"/>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建议增加消防设施报废年限的规定和翻新改造的要求，例如：为保证建筑消防设备的可靠运行，建议加入规定，建筑通过消防验收投入运行后15年，最多不超过20年，就需要重新对原有建筑的消防系统进行更新改造工程，并重新进行消防验收。</w:t>
            </w:r>
          </w:p>
          <w:p w14:paraId="2BEF9098">
            <w:pPr>
              <w:spacing w:line="240" w:lineRule="atLeast"/>
              <w:jc w:val="left"/>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理由：</w:t>
            </w:r>
            <w:r>
              <w:rPr>
                <w:rFonts w:hint="eastAsia" w:ascii="仿宋_GB2312" w:hAnsi="仿宋_GB2312" w:eastAsia="仿宋_GB2312" w:cs="仿宋_GB2312"/>
                <w:b w:val="0"/>
                <w:bCs w:val="0"/>
                <w:color w:val="000000"/>
                <w:kern w:val="0"/>
                <w:sz w:val="24"/>
                <w:highlight w:val="none"/>
                <w:lang w:eastAsia="zh-CN" w:bidi="ar"/>
              </w:rPr>
              <w:t>高层建筑火灾蔓延迅速、人员疏散困难，往往并非单纯设计缺陷所致，而是长期运行中消防设施因日久失修、疏于管理和维护而失效，导致火灾风险累积爆发。根据国家标准《火灾探测报警产品的维修保养与报废GB29837—2013》6.1.1条：火灾探测报警产品使用寿命一般不超过12年,可燃气体探测器中气敏元件、光纤产品中激光器件的使用寿命不超过5年。不少公共建筑投入运行后，也会有私下的改造。</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20C1790A">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000000"/>
                <w:kern w:val="0"/>
                <w:sz w:val="24"/>
                <w:highlight w:val="none"/>
                <w:lang w:eastAsia="zh-CN" w:bidi="ar"/>
              </w:rPr>
              <w:t>不采纳。本文为设计阶段规定。</w:t>
            </w:r>
          </w:p>
        </w:tc>
      </w:tr>
      <w:tr w14:paraId="3BBCD018">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auto" w:sz="4" w:space="0"/>
            </w:tcBorders>
            <w:shd w:val="clear" w:color="auto" w:fill="auto"/>
            <w:vAlign w:val="center"/>
          </w:tcPr>
          <w:p w14:paraId="5604C3FB">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11</w:t>
            </w:r>
          </w:p>
        </w:tc>
        <w:tc>
          <w:tcPr>
            <w:tcW w:w="2318" w:type="dxa"/>
            <w:tcBorders>
              <w:top w:val="single" w:color="auto" w:sz="4" w:space="0"/>
              <w:left w:val="single" w:color="auto" w:sz="4" w:space="0"/>
              <w:bottom w:val="single" w:color="auto" w:sz="4" w:space="0"/>
              <w:right w:val="single" w:color="auto" w:sz="4" w:space="0"/>
            </w:tcBorders>
            <w:shd w:val="clear" w:color="auto" w:fill="auto"/>
            <w:vAlign w:val="center"/>
          </w:tcPr>
          <w:p w14:paraId="06CDBFAF">
            <w:pPr>
              <w:spacing w:line="240" w:lineRule="atLeast"/>
              <w:jc w:val="center"/>
              <w:rPr>
                <w:rFonts w:hint="default" w:ascii="仿宋_GB2312" w:hAnsi="仿宋_GB2312" w:eastAsia="仿宋_GB2312" w:cs="仿宋_GB2312"/>
                <w:color w:val="000000"/>
                <w:kern w:val="0"/>
                <w:sz w:val="24"/>
                <w:highlight w:val="none"/>
                <w:lang w:val="en-US" w:bidi="ar"/>
              </w:rPr>
            </w:pPr>
            <w:r>
              <w:rPr>
                <w:rFonts w:hint="default" w:ascii="仿宋_GB2312" w:hAnsi="仿宋_GB2312" w:eastAsia="仿宋_GB2312" w:cs="仿宋_GB2312"/>
                <w:color w:val="000000"/>
                <w:kern w:val="0"/>
                <w:sz w:val="24"/>
                <w:highlight w:val="none"/>
                <w:lang w:val="en-US" w:bidi="ar"/>
              </w:rPr>
              <w:t>13642621407</w:t>
            </w: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79E490DD">
            <w:pPr>
              <w:spacing w:line="240" w:lineRule="atLeast"/>
              <w:jc w:val="left"/>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住宅开口天井的设置，应补充当出现多层次开口天井的情况，仅要求算最外一层开口的尺寸即可，而不是层层凹位净宽都要满足要求。</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005E3B9C">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b w:val="0"/>
                <w:bCs w:val="0"/>
                <w:color w:val="000000"/>
                <w:kern w:val="0"/>
                <w:sz w:val="24"/>
                <w:highlight w:val="none"/>
                <w:lang w:val="en-US" w:eastAsia="zh-CN" w:bidi="ar"/>
              </w:rPr>
              <w:t>采纳。进一步研究完善关于开口天井的规定。</w:t>
            </w:r>
          </w:p>
        </w:tc>
      </w:tr>
      <w:tr w14:paraId="4016154B">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auto" w:sz="4" w:space="0"/>
            </w:tcBorders>
            <w:shd w:val="clear" w:color="auto" w:fill="auto"/>
            <w:vAlign w:val="center"/>
          </w:tcPr>
          <w:p w14:paraId="45AF6F2B">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12</w:t>
            </w:r>
          </w:p>
        </w:tc>
        <w:tc>
          <w:tcPr>
            <w:tcW w:w="2318" w:type="dxa"/>
            <w:vMerge w:val="restart"/>
            <w:tcBorders>
              <w:top w:val="single" w:color="auto" w:sz="4" w:space="0"/>
              <w:left w:val="single" w:color="auto" w:sz="4" w:space="0"/>
              <w:right w:val="single" w:color="auto" w:sz="4" w:space="0"/>
            </w:tcBorders>
            <w:shd w:val="clear" w:color="auto" w:fill="auto"/>
            <w:vAlign w:val="center"/>
          </w:tcPr>
          <w:p w14:paraId="5B831682">
            <w:pPr>
              <w:spacing w:line="240" w:lineRule="atLeast"/>
              <w:jc w:val="center"/>
              <w:rPr>
                <w:rFonts w:hint="default" w:ascii="仿宋_GB2312" w:hAnsi="仿宋_GB2312" w:eastAsia="仿宋_GB2312" w:cs="仿宋_GB2312"/>
                <w:color w:val="000000"/>
                <w:kern w:val="0"/>
                <w:sz w:val="24"/>
                <w:highlight w:val="none"/>
                <w:lang w:val="en-US" w:bidi="ar"/>
              </w:rPr>
            </w:pPr>
            <w:r>
              <w:rPr>
                <w:rFonts w:hint="default" w:ascii="仿宋_GB2312" w:hAnsi="仿宋_GB2312" w:eastAsia="仿宋_GB2312" w:cs="仿宋_GB2312"/>
                <w:color w:val="000000"/>
                <w:kern w:val="0"/>
                <w:sz w:val="24"/>
                <w:highlight w:val="none"/>
                <w:lang w:val="en-US" w:bidi="ar"/>
              </w:rPr>
              <w:t>18664881922</w:t>
            </w: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0120B819">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关于消防应急广播：建议进一步明确应急广播功放冗余设计是针对功放主机本身还是功放主机对应的广播回路</w:t>
            </w:r>
            <w:r>
              <w:rPr>
                <w:rFonts w:hint="eastAsia" w:ascii="仿宋_GB2312" w:hAnsi="仿宋_GB2312" w:eastAsia="仿宋_GB2312" w:cs="仿宋_GB2312"/>
                <w:b w:val="0"/>
                <w:bCs w:val="0"/>
                <w:color w:val="000000"/>
                <w:kern w:val="0"/>
                <w:sz w:val="24"/>
                <w:highlight w:val="none"/>
                <w:lang w:bidi="ar"/>
              </w:rPr>
              <w:t>。</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3969C8C9">
            <w:pPr>
              <w:spacing w:line="240" w:lineRule="atLeast"/>
              <w:jc w:val="left"/>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采纳。</w:t>
            </w:r>
          </w:p>
        </w:tc>
      </w:tr>
      <w:tr w14:paraId="7A9ED0F0">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auto" w:sz="4" w:space="0"/>
            </w:tcBorders>
            <w:shd w:val="clear" w:color="auto" w:fill="auto"/>
            <w:vAlign w:val="center"/>
          </w:tcPr>
          <w:p w14:paraId="3A5590C8">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13</w:t>
            </w:r>
          </w:p>
        </w:tc>
        <w:tc>
          <w:tcPr>
            <w:tcW w:w="2318" w:type="dxa"/>
            <w:vMerge w:val="continue"/>
            <w:tcBorders>
              <w:left w:val="single" w:color="auto" w:sz="4" w:space="0"/>
              <w:right w:val="single" w:color="auto" w:sz="4" w:space="0"/>
            </w:tcBorders>
            <w:shd w:val="clear" w:color="auto" w:fill="auto"/>
            <w:vAlign w:val="center"/>
          </w:tcPr>
          <w:p w14:paraId="3368A8B7">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244B451C">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关于防火门监控系统：建议进一步明确非疏散通道上的常闭防火门是否设置防火门监控；且电房按照广州供电局要求设置两道门（不锈钢门、防火门），并明确该防火门是否需要设置监控。</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070B044E">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b w:val="0"/>
                <w:bCs w:val="0"/>
                <w:color w:val="000000"/>
                <w:kern w:val="0"/>
                <w:sz w:val="24"/>
                <w:highlight w:val="none"/>
                <w:lang w:val="en-US" w:eastAsia="zh-CN" w:bidi="ar"/>
              </w:rPr>
              <w:t>解释说明。现楼梯间、前室的常闭防火门均已做防火门监控；电房的防火门不属于疏散通道防火门，不需要设置防火门监控。</w:t>
            </w:r>
          </w:p>
        </w:tc>
      </w:tr>
      <w:tr w14:paraId="469D8537">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auto" w:sz="4" w:space="0"/>
            </w:tcBorders>
            <w:shd w:val="clear" w:color="auto" w:fill="auto"/>
            <w:vAlign w:val="center"/>
          </w:tcPr>
          <w:p w14:paraId="4F5C093F">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14</w:t>
            </w:r>
          </w:p>
        </w:tc>
        <w:tc>
          <w:tcPr>
            <w:tcW w:w="2318" w:type="dxa"/>
            <w:vMerge w:val="continue"/>
            <w:tcBorders>
              <w:left w:val="single" w:color="auto" w:sz="4" w:space="0"/>
              <w:right w:val="single" w:color="auto" w:sz="4" w:space="0"/>
            </w:tcBorders>
            <w:shd w:val="clear" w:color="auto" w:fill="auto"/>
            <w:vAlign w:val="center"/>
          </w:tcPr>
          <w:p w14:paraId="7651045F">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2A05DBB4">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关于54m以上住宅设置火宅探测器：建议进一步细化明确探测器设置要求，如卫生间、厨房是否设置火灾探测器，靠近天井一侧功能房间是否应设置火宅探测器等。</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69A75566">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解释说明。卫生间可不设置。</w:t>
            </w:r>
          </w:p>
        </w:tc>
      </w:tr>
      <w:tr w14:paraId="1EBFC286">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auto" w:sz="4" w:space="0"/>
              <w:right w:val="single" w:color="auto" w:sz="4" w:space="0"/>
            </w:tcBorders>
            <w:shd w:val="clear" w:color="auto" w:fill="auto"/>
            <w:vAlign w:val="center"/>
          </w:tcPr>
          <w:p w14:paraId="0D8C682B">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15</w:t>
            </w:r>
          </w:p>
        </w:tc>
        <w:tc>
          <w:tcPr>
            <w:tcW w:w="2318" w:type="dxa"/>
            <w:vMerge w:val="continue"/>
            <w:tcBorders>
              <w:left w:val="single" w:color="auto" w:sz="4" w:space="0"/>
              <w:bottom w:val="single" w:color="auto" w:sz="4" w:space="0"/>
              <w:right w:val="single" w:color="auto" w:sz="4" w:space="0"/>
            </w:tcBorders>
            <w:shd w:val="clear" w:color="auto" w:fill="auto"/>
            <w:vAlign w:val="center"/>
          </w:tcPr>
          <w:p w14:paraId="6ACC2E57">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7AD17248">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关于给排水：消防转输时都是单水泵对应单水箱，消防时转输水泵是靠转输水箱内的水位控制启动，且启动后不能自动停止；另外转输水泵供水管接至水箱处没有控制阀门，因此是一个完全开式系统，完全不会出现零流量的情况。</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471F545C">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b w:val="0"/>
                <w:bCs w:val="0"/>
                <w:color w:val="000000"/>
                <w:kern w:val="0"/>
                <w:sz w:val="24"/>
                <w:highlight w:val="none"/>
                <w:lang w:eastAsia="zh-CN" w:bidi="ar"/>
              </w:rPr>
              <w:t>采纳。</w:t>
            </w:r>
          </w:p>
        </w:tc>
      </w:tr>
      <w:tr w14:paraId="556F5672">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3068F22F">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16</w:t>
            </w:r>
          </w:p>
        </w:tc>
        <w:tc>
          <w:tcPr>
            <w:tcW w:w="2318" w:type="dxa"/>
            <w:vMerge w:val="restart"/>
            <w:tcBorders>
              <w:top w:val="single" w:color="auto" w:sz="4" w:space="0"/>
              <w:left w:val="single" w:color="auto" w:sz="4" w:space="0"/>
              <w:right w:val="single" w:color="auto" w:sz="4" w:space="0"/>
            </w:tcBorders>
            <w:shd w:val="clear" w:color="auto" w:fill="auto"/>
            <w:vAlign w:val="center"/>
          </w:tcPr>
          <w:p w14:paraId="76241DDB">
            <w:pPr>
              <w:spacing w:line="240" w:lineRule="atLeast"/>
              <w:jc w:val="center"/>
              <w:rPr>
                <w:rFonts w:hint="default" w:ascii="仿宋_GB2312" w:hAnsi="仿宋_GB2312" w:eastAsia="仿宋_GB2312" w:cs="仿宋_GB2312"/>
                <w:color w:val="000000"/>
                <w:kern w:val="0"/>
                <w:sz w:val="24"/>
                <w:highlight w:val="none"/>
                <w:lang w:val="en-US" w:bidi="ar"/>
              </w:rPr>
            </w:pPr>
            <w:r>
              <w:rPr>
                <w:rFonts w:hint="default" w:ascii="仿宋_GB2312" w:hAnsi="仿宋_GB2312" w:eastAsia="仿宋_GB2312" w:cs="仿宋_GB2312"/>
                <w:color w:val="000000"/>
                <w:kern w:val="0"/>
                <w:sz w:val="24"/>
                <w:highlight w:val="none"/>
                <w:lang w:val="en-US" w:bidi="ar"/>
              </w:rPr>
              <w:t>1106095493@qq.com</w:t>
            </w: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5A540FCE">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对于“电梯厅或内天井内自动关闭或联动关闭防火窗防火门”，在实际后期存在维护不到位情况，特别是住户内部的联动设备，建议限制使用。</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50DABAE3">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b w:val="0"/>
                <w:bCs w:val="0"/>
                <w:color w:val="000000"/>
                <w:kern w:val="0"/>
                <w:sz w:val="24"/>
                <w:highlight w:val="none"/>
                <w:lang w:val="en-US" w:eastAsia="zh-CN" w:bidi="ar"/>
              </w:rPr>
              <w:t>采纳。进一步研究完善关于开口天井的规定。</w:t>
            </w:r>
          </w:p>
        </w:tc>
      </w:tr>
      <w:tr w14:paraId="73F4F8CD">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7FF19373">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17</w:t>
            </w:r>
          </w:p>
        </w:tc>
        <w:tc>
          <w:tcPr>
            <w:tcW w:w="2318" w:type="dxa"/>
            <w:vMerge w:val="continue"/>
            <w:tcBorders>
              <w:left w:val="single" w:color="auto" w:sz="4" w:space="0"/>
              <w:right w:val="single" w:color="auto" w:sz="4" w:space="0"/>
            </w:tcBorders>
            <w:shd w:val="clear" w:color="auto" w:fill="auto"/>
            <w:vAlign w:val="center"/>
          </w:tcPr>
          <w:p w14:paraId="5E073D83">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0D45A851">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对于“楼梯间在首层采用疏散走道或扩大前室通向室外的，走道两侧或扩大前室内不应设置电房门。”，根据广州市住房和城乡建设局+广州供电局关于印发《广州市配电房门消防配置建议》的通知，现在电房门采用两套门设置，最外的门为防火门，建议不受这个影响。</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3B19E2D5">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不采纳。</w:t>
            </w:r>
          </w:p>
        </w:tc>
      </w:tr>
      <w:tr w14:paraId="0538C91B">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399CBFE1">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18</w:t>
            </w:r>
          </w:p>
        </w:tc>
        <w:tc>
          <w:tcPr>
            <w:tcW w:w="2318" w:type="dxa"/>
            <w:vMerge w:val="continue"/>
            <w:tcBorders>
              <w:left w:val="single" w:color="auto" w:sz="4" w:space="0"/>
              <w:right w:val="single" w:color="auto" w:sz="4" w:space="0"/>
            </w:tcBorders>
            <w:shd w:val="clear" w:color="auto" w:fill="auto"/>
            <w:vAlign w:val="center"/>
          </w:tcPr>
          <w:p w14:paraId="6803A07A">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138A46B7">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对于“设置集中报警系统或控制中心报警系统的建筑，疏散通道上常闭防火门应设置防火门监控系统”，建议明确常开、常闭都要设置防火门监控系统，避免误解。</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73AD8376">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b w:val="0"/>
                <w:bCs w:val="0"/>
                <w:color w:val="000000"/>
                <w:kern w:val="0"/>
                <w:sz w:val="24"/>
                <w:highlight w:val="none"/>
                <w:lang w:val="en-US" w:eastAsia="zh-CN" w:bidi="ar"/>
              </w:rPr>
              <w:t>不采纳。疏散通道上常开防火门需要设置防火门监控系统，规范已有规定。</w:t>
            </w:r>
          </w:p>
        </w:tc>
      </w:tr>
      <w:tr w14:paraId="08B7FDF2">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5973A915">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19</w:t>
            </w:r>
          </w:p>
        </w:tc>
        <w:tc>
          <w:tcPr>
            <w:tcW w:w="2318" w:type="dxa"/>
            <w:vMerge w:val="continue"/>
            <w:tcBorders>
              <w:left w:val="single" w:color="auto" w:sz="4" w:space="0"/>
              <w:right w:val="single" w:color="auto" w:sz="4" w:space="0"/>
            </w:tcBorders>
            <w:shd w:val="clear" w:color="auto" w:fill="auto"/>
            <w:vAlign w:val="center"/>
          </w:tcPr>
          <w:p w14:paraId="6C158CC6">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7E16D085">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对于“四、鼓励性措施”中的内容，建议明确应还是不应，鼓励性要求很难落实。</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683D8E6A">
            <w:pPr>
              <w:spacing w:line="240" w:lineRule="atLeast"/>
              <w:jc w:val="left"/>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采纳。已明确是鼓励性措施，非强制性。</w:t>
            </w:r>
          </w:p>
        </w:tc>
      </w:tr>
      <w:tr w14:paraId="23ABC0F4">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5FD9A483">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20</w:t>
            </w:r>
          </w:p>
        </w:tc>
        <w:tc>
          <w:tcPr>
            <w:tcW w:w="2318" w:type="dxa"/>
            <w:vMerge w:val="continue"/>
            <w:tcBorders>
              <w:left w:val="single" w:color="auto" w:sz="4" w:space="0"/>
              <w:bottom w:val="single" w:color="auto" w:sz="4" w:space="0"/>
              <w:right w:val="single" w:color="auto" w:sz="4" w:space="0"/>
            </w:tcBorders>
            <w:shd w:val="clear" w:color="auto" w:fill="auto"/>
            <w:vAlign w:val="center"/>
          </w:tcPr>
          <w:p w14:paraId="1EE53965">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7EEEA3C8">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对于本文件的执行时间，建议是按报建通过时间、消防设计审查时间或明确是以哪个时间开始，避免开发商按合同时间。</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4A9F7E5E">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采纳。</w:t>
            </w:r>
          </w:p>
        </w:tc>
      </w:tr>
      <w:tr w14:paraId="12C5DB5E">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2F1BC77E">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21</w:t>
            </w:r>
          </w:p>
        </w:tc>
        <w:tc>
          <w:tcPr>
            <w:tcW w:w="2318" w:type="dxa"/>
            <w:vMerge w:val="restart"/>
            <w:tcBorders>
              <w:top w:val="single" w:color="auto" w:sz="4" w:space="0"/>
              <w:left w:val="single" w:color="auto" w:sz="4" w:space="0"/>
              <w:right w:val="single" w:color="auto" w:sz="4" w:space="0"/>
            </w:tcBorders>
            <w:shd w:val="clear" w:color="auto" w:fill="auto"/>
            <w:vAlign w:val="center"/>
          </w:tcPr>
          <w:p w14:paraId="4F13E21F">
            <w:pPr>
              <w:pStyle w:val="3"/>
              <w:keepNext w:val="0"/>
              <w:keepLines w:val="0"/>
              <w:widowControl/>
              <w:suppressLineNumbers w:val="0"/>
              <w:spacing w:before="0" w:beforeAutospacing="0" w:after="0" w:afterAutospacing="0"/>
              <w:ind w:left="0" w:right="0" w:firstLine="0"/>
              <w:jc w:val="center"/>
              <w:rPr>
                <w:rFonts w:hint="default" w:ascii="仿宋_GB2312" w:hAnsi="仿宋_GB2312" w:eastAsia="仿宋_GB2312" w:cs="仿宋_GB2312"/>
                <w:color w:val="000000"/>
                <w:kern w:val="0"/>
                <w:sz w:val="24"/>
                <w:szCs w:val="24"/>
                <w:highlight w:val="none"/>
                <w:lang w:val="en-US" w:eastAsia="zh-CN" w:bidi="ar"/>
              </w:rPr>
            </w:pPr>
            <w:r>
              <w:rPr>
                <w:rFonts w:hint="default" w:ascii="仿宋_GB2312" w:hAnsi="仿宋_GB2312" w:eastAsia="仿宋_GB2312" w:cs="仿宋_GB2312"/>
                <w:color w:val="000000"/>
                <w:kern w:val="0"/>
                <w:sz w:val="24"/>
                <w:szCs w:val="24"/>
                <w:highlight w:val="none"/>
                <w:lang w:val="en-US" w:eastAsia="zh-CN" w:bidi="ar"/>
              </w:rPr>
              <w:t>350641059@qq.co</w:t>
            </w:r>
            <w:r>
              <w:rPr>
                <w:rFonts w:hint="eastAsia" w:ascii="仿宋_GB2312" w:hAnsi="仿宋_GB2312" w:eastAsia="仿宋_GB2312" w:cs="仿宋_GB2312"/>
                <w:color w:val="000000"/>
                <w:kern w:val="0"/>
                <w:sz w:val="24"/>
                <w:szCs w:val="24"/>
                <w:highlight w:val="none"/>
                <w:lang w:val="en-US" w:eastAsia="zh-CN" w:bidi="ar"/>
              </w:rPr>
              <w:t>m</w:t>
            </w:r>
          </w:p>
          <w:p w14:paraId="6EA6776A">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4A04C53F">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主文件标题为“若干措施”，文尾落款为“通知”，编制说明中亦称之为“措施（征求意见稿）”。“措施”通常指政策性、导向性要求，“通知”是公文文种。这种混淆导致文件法律属性模糊，究竟是具有普遍约束力的规范性文件，还是仅具指导意义的工作安排？其强制执行效力因此存疑。</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15BAF95C">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采纳。将以通知形式印发若干措施。</w:t>
            </w:r>
          </w:p>
        </w:tc>
      </w:tr>
      <w:tr w14:paraId="13845CAD">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787638CC">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22</w:t>
            </w:r>
          </w:p>
        </w:tc>
        <w:tc>
          <w:tcPr>
            <w:tcW w:w="2318" w:type="dxa"/>
            <w:vMerge w:val="continue"/>
            <w:tcBorders>
              <w:left w:val="single" w:color="auto" w:sz="4" w:space="0"/>
              <w:right w:val="single" w:color="auto" w:sz="4" w:space="0"/>
            </w:tcBorders>
            <w:shd w:val="clear" w:color="auto" w:fill="auto"/>
            <w:vAlign w:val="center"/>
          </w:tcPr>
          <w:p w14:paraId="777423F1">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27059DA0">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正文结构层级混乱，如“一、提高思想认识……”之后直接跳跃至“2. 提升设计标准……”，编号体系不连续、不规范。条文内部层级更是混乱，如“2. 提升设计标准”下分设“（一）总平面和平面布局”、“（二）安全疏散”等，但“（一）”之下又用“1.”、“2.”等编号，且“（四）给排水”的上级标题缺失（应为“（三）消防设施”之后）。</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0E7B7CFE">
            <w:pPr>
              <w:spacing w:line="240" w:lineRule="atLeast"/>
              <w:jc w:val="left"/>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不采纳。已复核无误，可能为手机查阅软件问题。</w:t>
            </w:r>
          </w:p>
        </w:tc>
      </w:tr>
      <w:tr w14:paraId="0ECD5087">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27DA7C0A">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23</w:t>
            </w:r>
          </w:p>
        </w:tc>
        <w:tc>
          <w:tcPr>
            <w:tcW w:w="2318" w:type="dxa"/>
            <w:vMerge w:val="continue"/>
            <w:tcBorders>
              <w:left w:val="single" w:color="auto" w:sz="4" w:space="0"/>
              <w:right w:val="single" w:color="auto" w:sz="4" w:space="0"/>
            </w:tcBorders>
            <w:shd w:val="clear" w:color="auto" w:fill="auto"/>
            <w:vAlign w:val="center"/>
          </w:tcPr>
          <w:p w14:paraId="57FFD143">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4FE8A890">
            <w:pPr>
              <w:spacing w:line="240" w:lineRule="atLeast"/>
              <w:jc w:val="left"/>
              <w:rPr>
                <w:rFonts w:hint="default" w:ascii="仿宋_GB2312" w:hAnsi="仿宋_GB2312" w:eastAsia="仿宋_GB2312" w:cs="仿宋_GB2312"/>
                <w:color w:val="auto"/>
                <w:kern w:val="0"/>
                <w:sz w:val="24"/>
                <w:highlight w:val="none"/>
                <w:lang w:val="en-US" w:eastAsia="zh-CN" w:bidi="ar"/>
              </w:rPr>
            </w:pPr>
            <w:r>
              <w:rPr>
                <w:rFonts w:hint="eastAsia" w:ascii="仿宋_GB2312" w:hAnsi="仿宋_GB2312" w:eastAsia="仿宋_GB2312" w:cs="仿宋_GB2312"/>
                <w:color w:val="auto"/>
                <w:kern w:val="0"/>
                <w:sz w:val="24"/>
                <w:highlight w:val="none"/>
                <w:lang w:val="en-US" w:eastAsia="zh-CN" w:bidi="ar"/>
              </w:rPr>
              <w:t>意见：“原则上均不应小于5米”（一（一）1条）、“原则上应满足……要求”（一（一）4条）。“原则上”一词在法律或技术标准中极为忌讳，它为不遵守规定提供了现成借口。</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3E906536">
            <w:pPr>
              <w:spacing w:line="240" w:lineRule="atLeast"/>
              <w:jc w:val="left"/>
              <w:rPr>
                <w:rFonts w:hint="eastAsia" w:ascii="仿宋_GB2312" w:hAnsi="仿宋_GB2312" w:eastAsia="仿宋_GB2312" w:cs="仿宋_GB2312"/>
                <w:color w:val="auto"/>
                <w:kern w:val="0"/>
                <w:sz w:val="24"/>
                <w:highlight w:val="none"/>
                <w:lang w:val="en-US" w:eastAsia="zh-CN" w:bidi="ar"/>
              </w:rPr>
            </w:pPr>
            <w:r>
              <w:rPr>
                <w:rFonts w:hint="eastAsia" w:ascii="仿宋_GB2312" w:hAnsi="仿宋_GB2312" w:eastAsia="仿宋_GB2312" w:cs="仿宋_GB2312"/>
                <w:color w:val="auto"/>
                <w:kern w:val="0"/>
                <w:sz w:val="24"/>
                <w:highlight w:val="none"/>
                <w:lang w:val="en-US" w:eastAsia="zh-CN" w:bidi="ar"/>
              </w:rPr>
              <w:t>解释说明。考虑到住宅建筑外形不规则、各不一样，主要是要满足消防车登高操作场地的有效性。</w:t>
            </w:r>
          </w:p>
        </w:tc>
      </w:tr>
      <w:tr w14:paraId="5E11E6CC">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77BFD3A4">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24</w:t>
            </w:r>
          </w:p>
        </w:tc>
        <w:tc>
          <w:tcPr>
            <w:tcW w:w="2318" w:type="dxa"/>
            <w:vMerge w:val="continue"/>
            <w:tcBorders>
              <w:left w:val="single" w:color="auto" w:sz="4" w:space="0"/>
              <w:right w:val="single" w:color="auto" w:sz="4" w:space="0"/>
            </w:tcBorders>
            <w:shd w:val="clear" w:color="auto" w:fill="auto"/>
            <w:vAlign w:val="center"/>
          </w:tcPr>
          <w:p w14:paraId="2861A370">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78C733C3">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从严要求”（一（一）5条）：何为“从严”？具体标准是什么？完全依赖执行者的主观判断，赋予了监管者过大的自由裁量权，也令设计、建设单位无所适从。</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63111121">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auto"/>
                <w:kern w:val="0"/>
                <w:sz w:val="24"/>
                <w:highlight w:val="none"/>
                <w:lang w:val="en-US" w:eastAsia="zh-CN" w:bidi="ar"/>
              </w:rPr>
              <w:t>解释说明。应根据与设备房设于同一防火分区部分的功能从严执行，例如当设备房与车库同一防火分区时，设自动灭火系统后防火分区面积不应大于2000㎡；当设备房与非车库的其他功能设置于同一防火分区时，设自动灭火系统后防火分区面积不应大于1000㎡。</w:t>
            </w:r>
          </w:p>
        </w:tc>
      </w:tr>
      <w:tr w14:paraId="25D94B1D">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5563BFEE">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25</w:t>
            </w:r>
          </w:p>
        </w:tc>
        <w:tc>
          <w:tcPr>
            <w:tcW w:w="2318" w:type="dxa"/>
            <w:vMerge w:val="continue"/>
            <w:tcBorders>
              <w:left w:val="single" w:color="auto" w:sz="4" w:space="0"/>
              <w:right w:val="single" w:color="auto" w:sz="4" w:space="0"/>
            </w:tcBorders>
            <w:shd w:val="clear" w:color="auto" w:fill="auto"/>
            <w:vAlign w:val="center"/>
          </w:tcPr>
          <w:p w14:paraId="571E9BFE">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6E19D831">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“因用地、规划条件限制确实难以实施的”（一（一）4条）：此例外条款的触发条件过于宽泛，缺乏客观、严格的认定程序和标准，极易被滥用。</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4B38A7C7">
            <w:pPr>
              <w:spacing w:line="240" w:lineRule="atLeast"/>
              <w:jc w:val="left"/>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采纳。</w:t>
            </w:r>
          </w:p>
        </w:tc>
      </w:tr>
      <w:tr w14:paraId="55714269">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528F17B0">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26</w:t>
            </w:r>
          </w:p>
        </w:tc>
        <w:tc>
          <w:tcPr>
            <w:tcW w:w="2318" w:type="dxa"/>
            <w:vMerge w:val="continue"/>
            <w:tcBorders>
              <w:left w:val="single" w:color="auto" w:sz="4" w:space="0"/>
              <w:right w:val="single" w:color="auto" w:sz="4" w:space="0"/>
            </w:tcBorders>
            <w:shd w:val="clear" w:color="auto" w:fill="auto"/>
            <w:vAlign w:val="center"/>
          </w:tcPr>
          <w:p w14:paraId="5079A032">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7D0FFD7F">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一（一）2条：“消防车道应穿越消防车登高操作场地。”此表述在消防工程中存在歧义。通常，消防车登高操作场地是供举高消防车停靠作业的硬化地面，消防车道“穿越”该场地，可能妨碍消防车停靠操作。究竟是要求“结合设置”还是“物理穿越”？表述不专业、不准确。</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44C59407">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不采纳。消防车道“穿越”消防车登高操作场地，不会妨碍消防车停靠操作；详见《建筑设计防火规范》图示中的7.2.2图示。</w:t>
            </w:r>
          </w:p>
        </w:tc>
      </w:tr>
      <w:tr w14:paraId="4BF1990B">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4075BDD9">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27</w:t>
            </w:r>
          </w:p>
        </w:tc>
        <w:tc>
          <w:tcPr>
            <w:tcW w:w="2318" w:type="dxa"/>
            <w:vMerge w:val="continue"/>
            <w:tcBorders>
              <w:left w:val="single" w:color="auto" w:sz="4" w:space="0"/>
              <w:right w:val="single" w:color="auto" w:sz="4" w:space="0"/>
            </w:tcBorders>
            <w:shd w:val="clear" w:color="auto" w:fill="auto"/>
            <w:vAlign w:val="center"/>
          </w:tcPr>
          <w:p w14:paraId="619138C5">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7E79B27B">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一（一）5条：关于地下车库与设备用房的防火分区规定，逻辑复杂，且“从严要求”无具体指向。对于占地面积5000平方米以下的“放宽”，其安全合理性未作说明。</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64A95C8C">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auto"/>
                <w:kern w:val="0"/>
                <w:sz w:val="24"/>
                <w:highlight w:val="none"/>
                <w:lang w:val="en-US" w:eastAsia="zh-CN" w:bidi="ar"/>
              </w:rPr>
              <w:t>解释说明。参照省答疑2.3.6条中回答为“原则上”，考虑到当一层地下室面积在5000方以下时，难以设置太多分区和疏散楼梯。</w:t>
            </w:r>
          </w:p>
        </w:tc>
      </w:tr>
      <w:tr w14:paraId="717827A3">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6A727519">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28</w:t>
            </w:r>
          </w:p>
        </w:tc>
        <w:tc>
          <w:tcPr>
            <w:tcW w:w="2318" w:type="dxa"/>
            <w:vMerge w:val="continue"/>
            <w:tcBorders>
              <w:left w:val="single" w:color="auto" w:sz="4" w:space="0"/>
              <w:right w:val="single" w:color="auto" w:sz="4" w:space="0"/>
            </w:tcBorders>
            <w:shd w:val="clear" w:color="auto" w:fill="auto"/>
            <w:vAlign w:val="center"/>
          </w:tcPr>
          <w:p w14:paraId="6005CD18">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7CA3D9B7">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一（二）条：“走道两侧或扩大前室内不应设置电房门。”“电房门”是否为专业术语？通常指强、弱电井门。此禁止性规定过于绝对，未考虑建筑设计的多样性（如电井位置是否确有调整空间），缺乏灵活性且依据不足。</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398EA390">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解释说明。电房门为强电井门。</w:t>
            </w:r>
          </w:p>
        </w:tc>
      </w:tr>
      <w:tr w14:paraId="080ACB8E">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52120845">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29</w:t>
            </w:r>
          </w:p>
        </w:tc>
        <w:tc>
          <w:tcPr>
            <w:tcW w:w="2318" w:type="dxa"/>
            <w:vMerge w:val="continue"/>
            <w:tcBorders>
              <w:left w:val="single" w:color="auto" w:sz="4" w:space="0"/>
              <w:right w:val="single" w:color="auto" w:sz="4" w:space="0"/>
            </w:tcBorders>
            <w:shd w:val="clear" w:color="auto" w:fill="auto"/>
            <w:vAlign w:val="center"/>
          </w:tcPr>
          <w:p w14:paraId="2D6022A9">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61870E8D">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文件多处提出高于或细于国家、省级标准的要求（如登高场地尺寸、54米以上住宅套内设火灾探测器等）。作为市级部门的“通知”或“措施”，其是否有权创设强制性技术标准，存在合法性质疑。这应与《消防法》、《建设工程消防设计审查验收管理暂行规定》等上位法进行协调，明确其法律授权依据，否则可能在行政复议或诉讼中面临挑战。</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544E6746">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auto"/>
                <w:kern w:val="0"/>
                <w:sz w:val="24"/>
                <w:highlight w:val="none"/>
                <w:lang w:val="en-US" w:eastAsia="zh-CN" w:bidi="ar"/>
              </w:rPr>
              <w:t>解释说明。本文是结合广州实际情况，为满足国家、省标准提出的细化措施。</w:t>
            </w:r>
          </w:p>
        </w:tc>
      </w:tr>
      <w:tr w14:paraId="46926C46">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3B699991">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30</w:t>
            </w:r>
          </w:p>
        </w:tc>
        <w:tc>
          <w:tcPr>
            <w:tcW w:w="2318" w:type="dxa"/>
            <w:vMerge w:val="continue"/>
            <w:tcBorders>
              <w:left w:val="single" w:color="auto" w:sz="4" w:space="0"/>
              <w:right w:val="single" w:color="auto" w:sz="4" w:space="0"/>
            </w:tcBorders>
            <w:shd w:val="clear" w:color="auto" w:fill="auto"/>
            <w:vAlign w:val="center"/>
          </w:tcPr>
          <w:p w14:paraId="22D4DFC8">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4BB83CD0">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一（一）4条引用了《广东省建设工程消防设计审查疑难问题解析》和《广州市建设工程消防设计审查工作指引》两份文件。前者是“解析”，后者是“指引”，其法律效力层级低于国家标准和规范。将此类文件的“要求”作为“原则上”应遵守的规定，技术依据的权威性不足，且未明确引用的具体版本，存在适用混乱。</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44C0B199">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auto"/>
                <w:kern w:val="0"/>
                <w:sz w:val="24"/>
                <w:highlight w:val="none"/>
                <w:lang w:val="en-US" w:eastAsia="zh-CN" w:bidi="ar"/>
              </w:rPr>
              <w:t>采纳。修改完善。</w:t>
            </w:r>
          </w:p>
        </w:tc>
      </w:tr>
      <w:tr w14:paraId="76FE8B60">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385D8661">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31</w:t>
            </w:r>
          </w:p>
        </w:tc>
        <w:tc>
          <w:tcPr>
            <w:tcW w:w="2318" w:type="dxa"/>
            <w:vMerge w:val="continue"/>
            <w:tcBorders>
              <w:left w:val="single" w:color="auto" w:sz="4" w:space="0"/>
              <w:right w:val="single" w:color="auto" w:sz="4" w:space="0"/>
            </w:tcBorders>
            <w:shd w:val="clear" w:color="auto" w:fill="auto"/>
            <w:vAlign w:val="center"/>
          </w:tcPr>
          <w:p w14:paraId="4668E13F">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60BA0E62">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第四部分“鼓励性措施”所列内容（如套内设喷淋、配置应急设备、设置逃生设施等），多为涉及重大成本投入或产品标准的举措。仅用“鼓励”二字，缺乏任何实质性的激励政策（如容积率奖励、审批绿色通道、资金补贴、税费减免等）</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074C0EC8">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不采纳。</w:t>
            </w:r>
          </w:p>
        </w:tc>
      </w:tr>
      <w:tr w14:paraId="43490BB2">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7F419769">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32</w:t>
            </w:r>
          </w:p>
        </w:tc>
        <w:tc>
          <w:tcPr>
            <w:tcW w:w="2318" w:type="dxa"/>
            <w:vMerge w:val="continue"/>
            <w:tcBorders>
              <w:left w:val="single" w:color="auto" w:sz="4" w:space="0"/>
              <w:right w:val="single" w:color="auto" w:sz="4" w:space="0"/>
            </w:tcBorders>
            <w:shd w:val="clear" w:color="auto" w:fill="auto"/>
            <w:vAlign w:val="center"/>
          </w:tcPr>
          <w:p w14:paraId="20C642ED">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13F36CCF">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编制说明仅有一句话，未阐述措施制定的必要性分析、主要条款的制定依据（特别是与上位法的关系）、可行性评估、可能产生的影响及成本效益分析。缺乏透明度的起草过程。</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0F803FB3">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auto"/>
                <w:kern w:val="0"/>
                <w:sz w:val="24"/>
                <w:highlight w:val="none"/>
                <w:lang w:val="en-US" w:eastAsia="zh-CN" w:bidi="ar"/>
              </w:rPr>
              <w:t>解释说明。本文根据近期国内多起火灾的经验教训，结合广州实际情况，提出的若干措施，旨在提高住宅消防安全水平。</w:t>
            </w:r>
          </w:p>
        </w:tc>
      </w:tr>
      <w:tr w14:paraId="6B386346">
        <w:tblPrEx>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744ABECD">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33</w:t>
            </w:r>
          </w:p>
        </w:tc>
        <w:tc>
          <w:tcPr>
            <w:tcW w:w="2318" w:type="dxa"/>
            <w:vMerge w:val="continue"/>
            <w:tcBorders>
              <w:left w:val="single" w:color="auto" w:sz="4" w:space="0"/>
              <w:bottom w:val="single" w:color="auto" w:sz="4" w:space="0"/>
              <w:right w:val="single" w:color="auto" w:sz="4" w:space="0"/>
            </w:tcBorders>
            <w:shd w:val="clear" w:color="auto" w:fill="auto"/>
            <w:vAlign w:val="center"/>
          </w:tcPr>
          <w:p w14:paraId="4232FDC3">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0D141C0F">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该文件草案呈现出典型的 “应急式立法”：忽视了规范性文件所必需的严密逻辑、清晰表述、权责法定及程序正当等基本要求。文件在技术上充斥模糊用语和矛盾表述，在效力上存在越权风险，在实施上缺乏可操作性和激励相容机制。设计、审查、施工单位在模糊规定前无所适从，甚至因规范混乱而引发新的问题与法律纠纷。建议退回起草单位，进行全面的合法性、合规性及技术严谨性审查后重拟。</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2A4ACB8D">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auto"/>
                <w:kern w:val="0"/>
                <w:sz w:val="24"/>
                <w:highlight w:val="none"/>
                <w:lang w:val="en-US" w:eastAsia="zh-CN" w:bidi="ar"/>
              </w:rPr>
              <w:t>解释说明。本文具体技术措施将在公征基础上进一步完善，并将在我局职权范围内依法依规推动落实。</w:t>
            </w:r>
          </w:p>
        </w:tc>
      </w:tr>
      <w:tr w14:paraId="26775142">
        <w:tblPrEx>
          <w:tblCellMar>
            <w:top w:w="0" w:type="dxa"/>
            <w:left w:w="108" w:type="dxa"/>
            <w:bottom w:w="0" w:type="dxa"/>
            <w:right w:w="108" w:type="dxa"/>
          </w:tblCellMar>
        </w:tblPrEx>
        <w:trPr>
          <w:trHeight w:val="215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6D3AC135">
            <w:pPr>
              <w:widowControl/>
              <w:jc w:val="center"/>
              <w:textAlignment w:val="center"/>
              <w:rPr>
                <w:rFonts w:hint="default"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34</w:t>
            </w:r>
          </w:p>
        </w:tc>
        <w:tc>
          <w:tcPr>
            <w:tcW w:w="2318" w:type="dxa"/>
            <w:tcBorders>
              <w:left w:val="single" w:color="auto" w:sz="4" w:space="0"/>
              <w:bottom w:val="single" w:color="auto" w:sz="4" w:space="0"/>
              <w:right w:val="single" w:color="auto" w:sz="4" w:space="0"/>
            </w:tcBorders>
            <w:shd w:val="clear" w:color="auto" w:fill="auto"/>
            <w:vAlign w:val="center"/>
          </w:tcPr>
          <w:p w14:paraId="50F8BE50">
            <w:pPr>
              <w:spacing w:line="240" w:lineRule="atLeast"/>
              <w:jc w:val="center"/>
              <w:rPr>
                <w:rFonts w:hint="default" w:ascii="仿宋_GB2312" w:hAnsi="仿宋_GB2312" w:eastAsia="仿宋_GB2312" w:cs="仿宋_GB2312"/>
                <w:color w:val="000000"/>
                <w:kern w:val="0"/>
                <w:sz w:val="24"/>
                <w:szCs w:val="24"/>
                <w:highlight w:val="none"/>
                <w:lang w:val="en-US" w:eastAsia="zh-CN" w:bidi="ar"/>
              </w:rPr>
            </w:pPr>
            <w:r>
              <w:rPr>
                <w:rFonts w:hint="default" w:ascii="仿宋_GB2312" w:hAnsi="仿宋_GB2312" w:eastAsia="仿宋_GB2312" w:cs="仿宋_GB2312"/>
                <w:color w:val="000000"/>
                <w:kern w:val="0"/>
                <w:sz w:val="24"/>
                <w:highlight w:val="none"/>
                <w:lang w:val="en-US" w:bidi="ar"/>
              </w:rPr>
              <w:t>QQ 604519340</w:t>
            </w:r>
          </w:p>
        </w:tc>
        <w:tc>
          <w:tcPr>
            <w:tcW w:w="7746" w:type="dxa"/>
            <w:tcBorders>
              <w:top w:val="single" w:color="auto" w:sz="4" w:space="0"/>
              <w:left w:val="single" w:color="auto" w:sz="4" w:space="0"/>
              <w:bottom w:val="single" w:color="auto" w:sz="4" w:space="0"/>
              <w:right w:val="single" w:color="auto" w:sz="4" w:space="0"/>
            </w:tcBorders>
            <w:shd w:val="clear" w:color="auto" w:fill="auto"/>
            <w:vAlign w:val="center"/>
          </w:tcPr>
          <w:p w14:paraId="34A03546">
            <w:pPr>
              <w:spacing w:line="240" w:lineRule="atLeast"/>
              <w:jc w:val="left"/>
              <w:rPr>
                <w:rFonts w:hint="default" w:ascii="仿宋_GB2312" w:hAnsi="仿宋_GB2312" w:eastAsia="仿宋_GB2312" w:cs="仿宋_GB2312"/>
                <w:b/>
                <w:bCs/>
                <w:color w:val="000000"/>
                <w:kern w:val="0"/>
                <w:sz w:val="24"/>
                <w:szCs w:val="24"/>
                <w:highlight w:val="none"/>
                <w:lang w:val="en-US"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szCs w:val="24"/>
                <w:highlight w:val="none"/>
                <w:lang w:val="en-US" w:eastAsia="zh-CN" w:bidi="ar"/>
              </w:rPr>
              <w:t>提出一套“超级水网建筑”的体系构想供参考。(附件略）</w:t>
            </w:r>
          </w:p>
        </w:tc>
        <w:tc>
          <w:tcPr>
            <w:tcW w:w="3828" w:type="dxa"/>
            <w:tcBorders>
              <w:top w:val="single" w:color="000000" w:sz="4" w:space="0"/>
              <w:left w:val="single" w:color="auto" w:sz="4" w:space="0"/>
              <w:bottom w:val="single" w:color="000000" w:sz="4" w:space="0"/>
              <w:right w:val="single" w:color="000000" w:sz="4" w:space="0"/>
            </w:tcBorders>
            <w:shd w:val="clear" w:color="auto" w:fill="auto"/>
            <w:vAlign w:val="center"/>
          </w:tcPr>
          <w:p w14:paraId="7F167E1E">
            <w:pPr>
              <w:spacing w:line="240" w:lineRule="atLeast"/>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auto"/>
                <w:kern w:val="0"/>
                <w:sz w:val="24"/>
                <w:highlight w:val="none"/>
                <w:lang w:val="en-US" w:eastAsia="zh-CN" w:bidi="ar"/>
              </w:rPr>
              <w:t>解释说明。感谢您对我市住房城乡建设事业的关心和关注，我局将认真研究您提出的构想，从中汲取与现阶段住宅项目建设水平相匹配的技术思路。欢迎您积极参与地方标准申报，您可关注市场监管部门关于地标申报的通知，按有关规定进行申报。</w:t>
            </w:r>
          </w:p>
        </w:tc>
      </w:tr>
    </w:tbl>
    <w:p w14:paraId="6E1A7091"/>
    <w:sectPr>
      <w:pgSz w:w="16838" w:h="11850" w:orient="landscape"/>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Arial Unicode MS"/>
    <w:panose1 w:val="02000000000000000000"/>
    <w:charset w:val="86"/>
    <w:family w:val="script"/>
    <w:pitch w:val="default"/>
    <w:sig w:usb0="00000000" w:usb1="00000000" w:usb2="00000012"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BF09E8"/>
    <w:rsid w:val="1F5F912F"/>
    <w:rsid w:val="1FFEDB72"/>
    <w:rsid w:val="20740AF8"/>
    <w:rsid w:val="279C3651"/>
    <w:rsid w:val="37FB8CA8"/>
    <w:rsid w:val="3EDFB5C0"/>
    <w:rsid w:val="3FFB6E65"/>
    <w:rsid w:val="474F1E26"/>
    <w:rsid w:val="4B5F2682"/>
    <w:rsid w:val="4FB526AE"/>
    <w:rsid w:val="4FEE9312"/>
    <w:rsid w:val="563FF301"/>
    <w:rsid w:val="5F698DB1"/>
    <w:rsid w:val="5FDF2C01"/>
    <w:rsid w:val="67F7D9A5"/>
    <w:rsid w:val="67FE0A8F"/>
    <w:rsid w:val="6DDFF363"/>
    <w:rsid w:val="6F589D28"/>
    <w:rsid w:val="6FBF09E8"/>
    <w:rsid w:val="74E15615"/>
    <w:rsid w:val="75FF1608"/>
    <w:rsid w:val="775FA4CC"/>
    <w:rsid w:val="77E9AE3A"/>
    <w:rsid w:val="77FF3213"/>
    <w:rsid w:val="7B4E7023"/>
    <w:rsid w:val="7DBB90E9"/>
    <w:rsid w:val="7DEFA39A"/>
    <w:rsid w:val="7F2AC09B"/>
    <w:rsid w:val="7FACDB29"/>
    <w:rsid w:val="7FB9C143"/>
    <w:rsid w:val="7FF78395"/>
    <w:rsid w:val="7FFF49E9"/>
    <w:rsid w:val="87DE1AFC"/>
    <w:rsid w:val="94DFBF31"/>
    <w:rsid w:val="B6FE66B3"/>
    <w:rsid w:val="B9FBCBBF"/>
    <w:rsid w:val="BC3F2818"/>
    <w:rsid w:val="BE9FF106"/>
    <w:rsid w:val="BF9699AC"/>
    <w:rsid w:val="BFFCCC66"/>
    <w:rsid w:val="CE7D19E3"/>
    <w:rsid w:val="DBBBA32F"/>
    <w:rsid w:val="DBFF2F53"/>
    <w:rsid w:val="DFBF43FA"/>
    <w:rsid w:val="DFF980AA"/>
    <w:rsid w:val="DFFE7594"/>
    <w:rsid w:val="E1FFB198"/>
    <w:rsid w:val="E5FF3B60"/>
    <w:rsid w:val="E7EA550E"/>
    <w:rsid w:val="F57D320E"/>
    <w:rsid w:val="F6D335BC"/>
    <w:rsid w:val="F77D02CA"/>
    <w:rsid w:val="F8F779B2"/>
    <w:rsid w:val="FBFFA3D1"/>
    <w:rsid w:val="FEFFE452"/>
    <w:rsid w:val="FF5F5D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4861</Words>
  <Characters>5134</Characters>
  <Lines>0</Lines>
  <Paragraphs>0</Paragraphs>
  <TotalTime>4</TotalTime>
  <ScaleCrop>false</ScaleCrop>
  <LinksUpToDate>false</LinksUpToDate>
  <CharactersWithSpaces>5147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2025-11-17T01:32:00Z</dcterms:created>
  <dc:creator>chentongyu</dc:creator>
  <cp:lastModifiedBy>DD+DD</cp:lastModifiedBy>
  <cp:lastPrinted>2026-02-13T02:33:00Z</cp:lastPrinted>
  <dcterms:modified xsi:type="dcterms:W3CDTF">2026-02-14T07:20:46Z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5FA01B5627ECA0B321CA8D6921520631</vt:lpwstr>
  </property>
  <property fmtid="{D5CDD505-2E9C-101B-9397-08002B2CF9AE}" pid="4" name="KSOTemplateDocerSaveRecord">
    <vt:lpwstr>eyJoZGlkIjoiZTJhNGJhYzViNjM0YzA0Nzg2NWEzNzM4ZWFjOTMwZWYiLCJ1c2VySWQiOiI1ODUyNzc4MDUifQ==</vt:lpwstr>
  </property>
</Properties>
</file>